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BC59" w14:textId="214146F1" w:rsidR="00DD3E9F" w:rsidRDefault="00570498" w:rsidP="00DF1942">
      <w:pPr>
        <w:jc w:val="center"/>
        <w:rPr>
          <w:szCs w:val="24"/>
        </w:rPr>
      </w:pPr>
      <w:r>
        <w:rPr>
          <w:noProof/>
          <w:lang w:eastAsia="it-IT"/>
        </w:rPr>
        <w:drawing>
          <wp:anchor distT="0" distB="0" distL="114300" distR="114300" simplePos="0" relativeHeight="251657728" behindDoc="0" locked="0" layoutInCell="1" allowOverlap="1" wp14:anchorId="3854A21A" wp14:editId="0D7F791C">
            <wp:simplePos x="0" y="0"/>
            <wp:positionH relativeFrom="page">
              <wp:posOffset>2167255</wp:posOffset>
            </wp:positionH>
            <wp:positionV relativeFrom="page">
              <wp:posOffset>1108710</wp:posOffset>
            </wp:positionV>
            <wp:extent cx="3034665" cy="8197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lum bright="10000"/>
                      <a:extLst>
                        <a:ext uri="{28A0092B-C50C-407E-A947-70E740481C1C}">
                          <a14:useLocalDpi xmlns:a14="http://schemas.microsoft.com/office/drawing/2010/main" val="0"/>
                        </a:ext>
                      </a:extLst>
                    </a:blip>
                    <a:srcRect/>
                    <a:stretch>
                      <a:fillRect/>
                    </a:stretch>
                  </pic:blipFill>
                  <pic:spPr bwMode="auto">
                    <a:xfrm>
                      <a:off x="0" y="0"/>
                      <a:ext cx="3034665" cy="819785"/>
                    </a:xfrm>
                    <a:prstGeom prst="rect">
                      <a:avLst/>
                    </a:prstGeom>
                    <a:noFill/>
                  </pic:spPr>
                </pic:pic>
              </a:graphicData>
            </a:graphic>
            <wp14:sizeRelH relativeFrom="page">
              <wp14:pctWidth>0</wp14:pctWidth>
            </wp14:sizeRelH>
            <wp14:sizeRelV relativeFrom="page">
              <wp14:pctHeight>0</wp14:pctHeight>
            </wp14:sizeRelV>
          </wp:anchor>
        </w:drawing>
      </w:r>
    </w:p>
    <w:p w14:paraId="2A1F19E7" w14:textId="3309FD25" w:rsidR="00E53F24" w:rsidRPr="00DF1942" w:rsidRDefault="00FB4E23" w:rsidP="00DF1942">
      <w:pPr>
        <w:jc w:val="center"/>
        <w:rPr>
          <w:rFonts w:ascii="Palace Script MT" w:hAnsi="Palace Script MT"/>
          <w:b/>
          <w:sz w:val="72"/>
          <w:szCs w:val="72"/>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E53F24" w:rsidRPr="00CE71D0">
        <w:rPr>
          <w:szCs w:val="24"/>
        </w:rPr>
        <w:t xml:space="preserve"> </w:t>
      </w:r>
    </w:p>
    <w:p w14:paraId="32C164E1" w14:textId="270A5244" w:rsidR="00EB3C6F" w:rsidRPr="00570498" w:rsidRDefault="00E53F24" w:rsidP="00570498">
      <w:pPr>
        <w:spacing w:after="0" w:line="240" w:lineRule="auto"/>
        <w:jc w:val="center"/>
        <w:rPr>
          <w:rFonts w:ascii="Kunstler Script" w:hAnsi="Kunstler Script"/>
          <w:bCs/>
          <w:sz w:val="76"/>
          <w:szCs w:val="76"/>
        </w:rPr>
      </w:pPr>
      <w:r w:rsidRPr="00570498">
        <w:rPr>
          <w:rFonts w:ascii="Kunstler Script" w:hAnsi="Kunstler Script"/>
          <w:bCs/>
          <w:sz w:val="76"/>
          <w:szCs w:val="76"/>
        </w:rPr>
        <w:t xml:space="preserve">Il Ministro </w:t>
      </w:r>
      <w:r w:rsidR="00EB3C6F" w:rsidRPr="00570498">
        <w:rPr>
          <w:rFonts w:ascii="Kunstler Script" w:hAnsi="Kunstler Script"/>
          <w:bCs/>
          <w:sz w:val="76"/>
          <w:szCs w:val="76"/>
        </w:rPr>
        <w:t xml:space="preserve">delle infrastrutture e </w:t>
      </w:r>
      <w:r w:rsidR="00570498" w:rsidRPr="00570498">
        <w:rPr>
          <w:rFonts w:ascii="Kunstler Script" w:hAnsi="Kunstler Script"/>
          <w:bCs/>
          <w:sz w:val="76"/>
          <w:szCs w:val="76"/>
        </w:rPr>
        <w:t>dei trasporti</w:t>
      </w:r>
    </w:p>
    <w:p w14:paraId="4047D23F" w14:textId="77777777" w:rsidR="00E53F24" w:rsidRPr="00570498" w:rsidRDefault="00E53F24" w:rsidP="00570498">
      <w:pPr>
        <w:spacing w:after="0" w:line="240" w:lineRule="auto"/>
        <w:jc w:val="center"/>
        <w:rPr>
          <w:bCs/>
          <w:sz w:val="26"/>
          <w:szCs w:val="26"/>
        </w:rPr>
      </w:pPr>
      <w:r w:rsidRPr="00570498">
        <w:rPr>
          <w:bCs/>
          <w:sz w:val="26"/>
          <w:szCs w:val="26"/>
        </w:rPr>
        <w:t>di concerto con</w:t>
      </w:r>
    </w:p>
    <w:p w14:paraId="1E5991CE" w14:textId="5CFE8497" w:rsidR="00EB3C6F" w:rsidRPr="00570498" w:rsidRDefault="00E53F24" w:rsidP="00570498">
      <w:pPr>
        <w:spacing w:after="0" w:line="240" w:lineRule="auto"/>
        <w:jc w:val="center"/>
        <w:rPr>
          <w:rFonts w:ascii="Kunstler Script" w:hAnsi="Kunstler Script"/>
          <w:bCs/>
          <w:sz w:val="76"/>
          <w:szCs w:val="76"/>
        </w:rPr>
      </w:pPr>
      <w:r w:rsidRPr="00570498">
        <w:rPr>
          <w:rFonts w:ascii="Kunstler Script" w:hAnsi="Kunstler Script"/>
          <w:bCs/>
          <w:sz w:val="76"/>
          <w:szCs w:val="76"/>
        </w:rPr>
        <w:t>Il Ministro</w:t>
      </w:r>
      <w:r w:rsidR="00EB3C6F" w:rsidRPr="00570498">
        <w:rPr>
          <w:rFonts w:ascii="Kunstler Script" w:hAnsi="Kunstler Script"/>
          <w:bCs/>
          <w:sz w:val="76"/>
          <w:szCs w:val="76"/>
        </w:rPr>
        <w:t xml:space="preserve"> dell’economia e delle finanze</w:t>
      </w:r>
    </w:p>
    <w:p w14:paraId="1903832E" w14:textId="77777777" w:rsidR="003A15EB" w:rsidRPr="00701934" w:rsidRDefault="003A15EB" w:rsidP="00701934">
      <w:pPr>
        <w:spacing w:after="0" w:line="240" w:lineRule="auto"/>
        <w:ind w:left="567" w:right="-1" w:hanging="567"/>
        <w:jc w:val="both"/>
        <w:rPr>
          <w:szCs w:val="24"/>
          <w:lang w:eastAsia="it-IT"/>
        </w:rPr>
      </w:pPr>
    </w:p>
    <w:p w14:paraId="36CC3B7A" w14:textId="1AC150D7" w:rsidR="00D24922" w:rsidRPr="00570498" w:rsidRDefault="00D24922" w:rsidP="00570498">
      <w:pPr>
        <w:spacing w:after="0" w:line="240" w:lineRule="auto"/>
        <w:jc w:val="both"/>
        <w:rPr>
          <w:rFonts w:eastAsia="Times New Roman"/>
          <w:bCs/>
          <w:szCs w:val="20"/>
          <w:lang w:eastAsia="it-IT"/>
        </w:rPr>
      </w:pPr>
      <w:r w:rsidRPr="00570498">
        <w:rPr>
          <w:rFonts w:eastAsia="Times New Roman"/>
          <w:bCs/>
          <w:szCs w:val="20"/>
          <w:lang w:eastAsia="it-IT"/>
        </w:rPr>
        <w:t>VISTO l’articolo 16-</w:t>
      </w:r>
      <w:r w:rsidRPr="00DF2C0C">
        <w:rPr>
          <w:rFonts w:eastAsia="Times New Roman"/>
          <w:bCs/>
          <w:i/>
          <w:iCs/>
          <w:szCs w:val="20"/>
          <w:lang w:eastAsia="it-IT"/>
        </w:rPr>
        <w:t>bis</w:t>
      </w:r>
      <w:r w:rsidRPr="00570498">
        <w:rPr>
          <w:rFonts w:eastAsia="Times New Roman"/>
          <w:bCs/>
          <w:szCs w:val="20"/>
          <w:lang w:eastAsia="it-IT"/>
        </w:rPr>
        <w:t xml:space="preserve"> del </w:t>
      </w:r>
      <w:r w:rsidR="00A05B22" w:rsidRPr="00570498">
        <w:rPr>
          <w:rFonts w:eastAsia="Times New Roman"/>
          <w:bCs/>
          <w:szCs w:val="20"/>
          <w:lang w:eastAsia="it-IT"/>
        </w:rPr>
        <w:t>decreto-legge</w:t>
      </w:r>
      <w:r w:rsidRPr="00570498">
        <w:rPr>
          <w:rFonts w:eastAsia="Times New Roman"/>
          <w:bCs/>
          <w:szCs w:val="20"/>
          <w:lang w:eastAsia="it-IT"/>
        </w:rPr>
        <w:t xml:space="preserve"> 6 luglio 2012, n. 95, convertito con modificazioni, dalla legge 7 agosto 2012, n. 135, così come sostituito dall’articolo 1, comma 301, della legge 24 dicembre 2012, n. 228, che al comma 1 istituisce, a decorrere dall’anno 2013, il Fondo nazionale per il concorso finanziario dello Stato agli oneri del trasporto pubblico locale, anche ferroviario, nelle Regioni a statuto ordinario</w:t>
      </w:r>
      <w:r w:rsidR="00983569" w:rsidRPr="00570498">
        <w:rPr>
          <w:rFonts w:eastAsia="Times New Roman"/>
          <w:bCs/>
          <w:szCs w:val="20"/>
          <w:lang w:eastAsia="it-IT"/>
        </w:rPr>
        <w:t xml:space="preserve"> (di seguito “Fondo nazionale”)</w:t>
      </w:r>
      <w:r w:rsidRPr="00570498">
        <w:rPr>
          <w:rFonts w:eastAsia="Times New Roman"/>
          <w:bCs/>
          <w:szCs w:val="20"/>
          <w:lang w:eastAsia="it-IT"/>
        </w:rPr>
        <w:t>;</w:t>
      </w:r>
    </w:p>
    <w:p w14:paraId="2E7B08CB" w14:textId="77777777" w:rsidR="00D24922" w:rsidRPr="00570498" w:rsidRDefault="00D24922" w:rsidP="00570498">
      <w:pPr>
        <w:spacing w:after="0" w:line="240" w:lineRule="auto"/>
        <w:jc w:val="both"/>
        <w:rPr>
          <w:rFonts w:eastAsia="Times New Roman"/>
          <w:bCs/>
          <w:szCs w:val="20"/>
          <w:lang w:eastAsia="it-IT"/>
        </w:rPr>
      </w:pPr>
    </w:p>
    <w:p w14:paraId="410D1D67" w14:textId="4EC60D42" w:rsidR="00D24922" w:rsidRPr="00570498" w:rsidRDefault="00D24922" w:rsidP="00570498">
      <w:pPr>
        <w:spacing w:after="0" w:line="240" w:lineRule="auto"/>
        <w:jc w:val="both"/>
        <w:rPr>
          <w:rFonts w:eastAsia="Times New Roman"/>
          <w:bCs/>
          <w:szCs w:val="20"/>
          <w:lang w:eastAsia="it-IT"/>
        </w:rPr>
      </w:pPr>
      <w:r w:rsidRPr="00570498">
        <w:rPr>
          <w:rFonts w:eastAsia="Times New Roman"/>
          <w:bCs/>
          <w:szCs w:val="20"/>
          <w:lang w:eastAsia="it-IT"/>
        </w:rPr>
        <w:t xml:space="preserve">VISTO il decreto del Presidente del </w:t>
      </w:r>
      <w:proofErr w:type="gramStart"/>
      <w:r w:rsidRPr="00570498">
        <w:rPr>
          <w:rFonts w:eastAsia="Times New Roman"/>
          <w:bCs/>
          <w:szCs w:val="20"/>
          <w:lang w:eastAsia="it-IT"/>
        </w:rPr>
        <w:t>Consiglio dei Ministri</w:t>
      </w:r>
      <w:proofErr w:type="gramEnd"/>
      <w:r w:rsidRPr="00570498">
        <w:rPr>
          <w:rFonts w:eastAsia="Times New Roman"/>
          <w:bCs/>
          <w:szCs w:val="20"/>
          <w:lang w:eastAsia="it-IT"/>
        </w:rPr>
        <w:t xml:space="preserve"> </w:t>
      </w:r>
      <w:r w:rsidR="007A7954" w:rsidRPr="00570498">
        <w:rPr>
          <w:rFonts w:eastAsia="Times New Roman"/>
          <w:bCs/>
          <w:szCs w:val="20"/>
          <w:lang w:eastAsia="it-IT"/>
        </w:rPr>
        <w:t>dell’</w:t>
      </w:r>
      <w:r w:rsidRPr="00570498">
        <w:rPr>
          <w:rFonts w:eastAsia="Times New Roman"/>
          <w:bCs/>
          <w:szCs w:val="20"/>
          <w:lang w:eastAsia="it-IT"/>
        </w:rPr>
        <w:t xml:space="preserve">11 marzo 2013, pubblicato nella Gazzetta Ufficiale 26 giugno 2013, n. 148, </w:t>
      </w:r>
      <w:r w:rsidR="007E730F" w:rsidRPr="00570498">
        <w:rPr>
          <w:rFonts w:eastAsia="Times New Roman"/>
          <w:bCs/>
          <w:szCs w:val="20"/>
          <w:lang w:eastAsia="it-IT"/>
        </w:rPr>
        <w:t>come modificato dai successivi decreti del Presidente del Consiglio dei Ministri 7 dicembre 2015 e 26 maggio 2017</w:t>
      </w:r>
      <w:r w:rsidR="00361BC2" w:rsidRPr="00570498">
        <w:rPr>
          <w:rFonts w:eastAsia="Times New Roman"/>
          <w:bCs/>
          <w:szCs w:val="20"/>
          <w:lang w:eastAsia="it-IT"/>
        </w:rPr>
        <w:t>,</w:t>
      </w:r>
      <w:r w:rsidR="00A97F1C" w:rsidRPr="00570498">
        <w:rPr>
          <w:rFonts w:eastAsia="Times New Roman"/>
          <w:bCs/>
          <w:szCs w:val="20"/>
          <w:lang w:eastAsia="it-IT"/>
        </w:rPr>
        <w:t xml:space="preserve"> </w:t>
      </w:r>
      <w:r w:rsidRPr="00570498">
        <w:rPr>
          <w:rFonts w:eastAsia="Times New Roman"/>
          <w:bCs/>
          <w:szCs w:val="20"/>
          <w:lang w:eastAsia="it-IT"/>
        </w:rPr>
        <w:t xml:space="preserve">con il quale sono stati definiti i criteri e le modalità con cui ripartire e trasferire alle Regioni a statuto ordinario le risorse del Fondo </w:t>
      </w:r>
      <w:r w:rsidR="00983569" w:rsidRPr="00570498">
        <w:rPr>
          <w:rFonts w:eastAsia="Times New Roman"/>
          <w:bCs/>
          <w:szCs w:val="20"/>
          <w:lang w:eastAsia="it-IT"/>
        </w:rPr>
        <w:t xml:space="preserve">nazionale; </w:t>
      </w:r>
    </w:p>
    <w:p w14:paraId="18923AAF" w14:textId="77777777" w:rsidR="003A15EB" w:rsidRPr="00570498" w:rsidRDefault="003A15EB" w:rsidP="00570498">
      <w:pPr>
        <w:spacing w:after="0" w:line="240" w:lineRule="auto"/>
        <w:ind w:left="567" w:right="-1"/>
        <w:jc w:val="both"/>
        <w:rPr>
          <w:bCs/>
          <w:szCs w:val="24"/>
          <w:lang w:eastAsia="it-IT"/>
        </w:rPr>
      </w:pPr>
    </w:p>
    <w:p w14:paraId="3CE20D10" w14:textId="01F1D8C2" w:rsidR="003A15EB" w:rsidRPr="00570498" w:rsidRDefault="003A15EB" w:rsidP="00570498">
      <w:pPr>
        <w:spacing w:after="0" w:line="240" w:lineRule="auto"/>
        <w:ind w:right="-1"/>
        <w:jc w:val="both"/>
        <w:rPr>
          <w:rFonts w:eastAsia="Times New Roman"/>
          <w:bCs/>
          <w:szCs w:val="20"/>
          <w:lang w:eastAsia="it-IT"/>
        </w:rPr>
      </w:pPr>
      <w:r w:rsidRPr="00570498">
        <w:rPr>
          <w:bCs/>
          <w:szCs w:val="24"/>
          <w:lang w:eastAsia="it-IT"/>
        </w:rPr>
        <w:t xml:space="preserve">VISTO </w:t>
      </w:r>
      <w:r w:rsidRPr="00570498">
        <w:rPr>
          <w:rFonts w:eastAsia="Times New Roman"/>
          <w:bCs/>
          <w:szCs w:val="20"/>
          <w:lang w:eastAsia="it-IT"/>
        </w:rPr>
        <w:t xml:space="preserve">l’articolo 27 del </w:t>
      </w:r>
      <w:r w:rsidR="00DF2C0C" w:rsidRPr="00570498">
        <w:rPr>
          <w:rFonts w:eastAsia="Times New Roman"/>
          <w:bCs/>
          <w:szCs w:val="20"/>
          <w:lang w:eastAsia="it-IT"/>
        </w:rPr>
        <w:t>decreto-legge</w:t>
      </w:r>
      <w:r w:rsidRPr="00570498">
        <w:rPr>
          <w:rFonts w:eastAsia="Times New Roman"/>
          <w:bCs/>
          <w:szCs w:val="20"/>
          <w:lang w:eastAsia="it-IT"/>
        </w:rPr>
        <w:t xml:space="preserve"> 24 aprile 2017, n. 50, convertito con modificazioni dalla legge 21 giugno 2017, n. 96, che ha </w:t>
      </w:r>
      <w:r w:rsidR="00983569" w:rsidRPr="00570498">
        <w:rPr>
          <w:rFonts w:eastAsia="Times New Roman"/>
          <w:bCs/>
          <w:szCs w:val="20"/>
          <w:lang w:eastAsia="it-IT"/>
        </w:rPr>
        <w:t>modificato i criteri di riparto del Fondo nazionale a decorrere dall’anno 2020;</w:t>
      </w:r>
    </w:p>
    <w:p w14:paraId="15B4C0A3" w14:textId="52AF60FA" w:rsidR="003A15EB" w:rsidRPr="00570498" w:rsidRDefault="003A15EB" w:rsidP="00570498">
      <w:pPr>
        <w:spacing w:after="0" w:line="240" w:lineRule="auto"/>
        <w:ind w:right="-1"/>
        <w:jc w:val="both"/>
        <w:rPr>
          <w:bCs/>
          <w:i/>
          <w:szCs w:val="24"/>
          <w:lang w:eastAsia="it-IT"/>
        </w:rPr>
      </w:pPr>
    </w:p>
    <w:p w14:paraId="1A3D4118" w14:textId="4794FD26" w:rsidR="00CA1CF4" w:rsidRPr="00570498" w:rsidRDefault="00CA1CF4" w:rsidP="00570498">
      <w:pPr>
        <w:spacing w:after="0" w:line="240" w:lineRule="auto"/>
        <w:ind w:right="-1"/>
        <w:jc w:val="both"/>
        <w:rPr>
          <w:bCs/>
          <w:szCs w:val="24"/>
          <w:lang w:eastAsia="it-IT"/>
        </w:rPr>
      </w:pPr>
      <w:r w:rsidRPr="00570498">
        <w:rPr>
          <w:bCs/>
          <w:szCs w:val="24"/>
          <w:lang w:eastAsia="it-IT"/>
        </w:rPr>
        <w:t xml:space="preserve">CONSIDERATO che lo stanziamento a valere sul capitolo 1315 dello stato di previsione del Ministero delle infrastrutture e </w:t>
      </w:r>
      <w:r w:rsidR="00B339CD">
        <w:rPr>
          <w:bCs/>
          <w:szCs w:val="24"/>
          <w:lang w:eastAsia="it-IT"/>
        </w:rPr>
        <w:t>dei trasporti</w:t>
      </w:r>
      <w:r w:rsidRPr="00570498">
        <w:rPr>
          <w:bCs/>
          <w:szCs w:val="24"/>
          <w:lang w:eastAsia="it-IT"/>
        </w:rPr>
        <w:t xml:space="preserve"> è complessivamente pari a 4.989.554.000,00 euro per l’anno 2022</w:t>
      </w:r>
      <w:r w:rsidR="002E310C" w:rsidRPr="00570498">
        <w:rPr>
          <w:bCs/>
          <w:szCs w:val="24"/>
          <w:lang w:eastAsia="it-IT"/>
        </w:rPr>
        <w:t>, 5.093.554.000 euro per l’anno 2023 e 5.180.554.000 euro per l’anno 2024</w:t>
      </w:r>
      <w:r w:rsidRPr="00570498">
        <w:rPr>
          <w:bCs/>
          <w:szCs w:val="24"/>
          <w:lang w:eastAsia="it-IT"/>
        </w:rPr>
        <w:t>;</w:t>
      </w:r>
    </w:p>
    <w:p w14:paraId="3C6B7F8B" w14:textId="77777777" w:rsidR="00AB07F0" w:rsidRPr="00570498" w:rsidRDefault="00AB07F0" w:rsidP="00570498">
      <w:pPr>
        <w:spacing w:after="0" w:line="240" w:lineRule="auto"/>
        <w:ind w:right="-1"/>
        <w:jc w:val="both"/>
        <w:rPr>
          <w:bCs/>
          <w:szCs w:val="24"/>
          <w:lang w:eastAsia="it-IT"/>
        </w:rPr>
      </w:pPr>
    </w:p>
    <w:p w14:paraId="0308DD67" w14:textId="2A4A0CF5" w:rsidR="00AB07F0" w:rsidRPr="00570498" w:rsidRDefault="006A53C2" w:rsidP="00570498">
      <w:pPr>
        <w:spacing w:after="0" w:line="240" w:lineRule="auto"/>
        <w:ind w:right="-1"/>
        <w:jc w:val="both"/>
        <w:rPr>
          <w:bCs/>
          <w:szCs w:val="24"/>
          <w:lang w:eastAsia="it-IT"/>
        </w:rPr>
      </w:pPr>
      <w:r w:rsidRPr="00570498">
        <w:rPr>
          <w:bCs/>
          <w:szCs w:val="24"/>
          <w:lang w:eastAsia="it-IT"/>
        </w:rPr>
        <w:t xml:space="preserve">CONSIDERATO che </w:t>
      </w:r>
      <w:r w:rsidR="00AB07F0" w:rsidRPr="00570498">
        <w:rPr>
          <w:bCs/>
          <w:szCs w:val="24"/>
          <w:lang w:eastAsia="it-IT"/>
        </w:rPr>
        <w:t xml:space="preserve">l’articolo 1, comma 816, della legge 30 dicembre 2021, n. 234,  ha </w:t>
      </w:r>
      <w:r w:rsidRPr="00570498">
        <w:rPr>
          <w:bCs/>
          <w:szCs w:val="24"/>
          <w:lang w:eastAsia="it-IT"/>
        </w:rPr>
        <w:t xml:space="preserve">disposto  </w:t>
      </w:r>
      <w:r w:rsidR="00AB07F0" w:rsidRPr="00570498">
        <w:rPr>
          <w:bCs/>
          <w:szCs w:val="24"/>
          <w:lang w:eastAsia="it-IT"/>
        </w:rPr>
        <w:t>che “</w:t>
      </w:r>
      <w:r w:rsidR="00AB07F0" w:rsidRPr="00570498">
        <w:rPr>
          <w:bCs/>
          <w:i/>
          <w:szCs w:val="24"/>
          <w:lang w:eastAsia="it-IT"/>
        </w:rPr>
        <w:t>al fine di contrastare gli effetti negativi causati dall'emergenza epidemiologica da COVID-19 sull'equilibrio economico del contratto di servizio per lo svolgimento del trasporto pubblico locale acqueo nella città di Venezia, in relazione all'assoluta specificità in termini di costi e modalità di svolgimento del medesimo servizio, e al fine di garantire la continuità territoriale con le isole della laguna e l'accessibilità e la mobilità nel centro storico tenuto conto della particolare conformazione geomorfologica della città antica, è autorizzata la spesa nel limite di 15 milioni di euro per l'anno 2022, 19 milioni di euro per l'anno 2023 e 6 milioni di euro per l'anno 2024, al fine di sostenere il servizio di trasporto urbano di navigazione lagunare della città di Venezia</w:t>
      </w:r>
      <w:r w:rsidR="00AB07F0" w:rsidRPr="00570498">
        <w:rPr>
          <w:bCs/>
          <w:szCs w:val="24"/>
          <w:lang w:eastAsia="it-IT"/>
        </w:rPr>
        <w:t>”;</w:t>
      </w:r>
    </w:p>
    <w:p w14:paraId="06226D19" w14:textId="77777777" w:rsidR="00632043" w:rsidRPr="00570498" w:rsidRDefault="00632043" w:rsidP="00570498">
      <w:pPr>
        <w:spacing w:after="0" w:line="240" w:lineRule="auto"/>
        <w:ind w:left="567" w:right="-1"/>
        <w:jc w:val="both"/>
        <w:rPr>
          <w:bCs/>
          <w:szCs w:val="24"/>
          <w:lang w:eastAsia="it-IT"/>
        </w:rPr>
      </w:pPr>
    </w:p>
    <w:p w14:paraId="71BFFFCB" w14:textId="5B25DBD1" w:rsidR="003A15EB" w:rsidRPr="00570498" w:rsidRDefault="0038052F" w:rsidP="00570498">
      <w:pPr>
        <w:spacing w:line="240" w:lineRule="auto"/>
        <w:jc w:val="both"/>
        <w:rPr>
          <w:bCs/>
          <w:szCs w:val="24"/>
          <w:lang w:eastAsia="it-IT"/>
        </w:rPr>
      </w:pPr>
      <w:r w:rsidRPr="00570498">
        <w:rPr>
          <w:bCs/>
          <w:szCs w:val="24"/>
          <w:lang w:eastAsia="it-IT"/>
        </w:rPr>
        <w:t>CONSIDERATO</w:t>
      </w:r>
      <w:r w:rsidR="007F51AD" w:rsidRPr="00570498">
        <w:rPr>
          <w:bCs/>
          <w:szCs w:val="24"/>
          <w:lang w:eastAsia="it-IT"/>
        </w:rPr>
        <w:t>, pertanto,</w:t>
      </w:r>
      <w:r w:rsidRPr="00570498">
        <w:rPr>
          <w:bCs/>
          <w:szCs w:val="24"/>
          <w:lang w:eastAsia="it-IT"/>
        </w:rPr>
        <w:t xml:space="preserve"> che lo stanziamento del Fondo</w:t>
      </w:r>
      <w:r w:rsidR="002B5BE2" w:rsidRPr="00570498">
        <w:rPr>
          <w:bCs/>
          <w:szCs w:val="24"/>
          <w:lang w:eastAsia="it-IT"/>
        </w:rPr>
        <w:t xml:space="preserve"> nazionale</w:t>
      </w:r>
      <w:r w:rsidRPr="00570498">
        <w:rPr>
          <w:bCs/>
          <w:szCs w:val="24"/>
          <w:lang w:eastAsia="it-IT"/>
        </w:rPr>
        <w:t xml:space="preserve"> sul </w:t>
      </w:r>
      <w:r w:rsidR="007F51AD" w:rsidRPr="00570498">
        <w:rPr>
          <w:bCs/>
          <w:szCs w:val="24"/>
          <w:lang w:eastAsia="it-IT"/>
        </w:rPr>
        <w:t xml:space="preserve">citato </w:t>
      </w:r>
      <w:r w:rsidRPr="00570498">
        <w:rPr>
          <w:bCs/>
          <w:szCs w:val="24"/>
          <w:lang w:eastAsia="it-IT"/>
        </w:rPr>
        <w:t>capitolo 1315 finalizzato al finanziamento dei servizi di trasporto pubblico locale</w:t>
      </w:r>
      <w:r w:rsidR="00940511" w:rsidRPr="00570498">
        <w:rPr>
          <w:bCs/>
          <w:szCs w:val="24"/>
          <w:lang w:eastAsia="it-IT"/>
        </w:rPr>
        <w:t xml:space="preserve">, al netto dell’assegnazione al trasporto pubblico locale acqueo nella città di Venezia di cui al precedente capoverso, </w:t>
      </w:r>
      <w:r w:rsidRPr="00570498">
        <w:rPr>
          <w:bCs/>
          <w:szCs w:val="24"/>
          <w:lang w:eastAsia="it-IT"/>
        </w:rPr>
        <w:t>è di 4.974.554.000,00 euro per l’anno 2022</w:t>
      </w:r>
      <w:r w:rsidR="002E310C" w:rsidRPr="00570498">
        <w:rPr>
          <w:bCs/>
          <w:szCs w:val="24"/>
          <w:lang w:eastAsia="it-IT"/>
        </w:rPr>
        <w:t xml:space="preserve">, 5.074.554.000 euro per l’anno 2023 e 5.174.554.000 euro per l’anno 2024 </w:t>
      </w:r>
      <w:r w:rsidR="00940511" w:rsidRPr="00570498">
        <w:rPr>
          <w:bCs/>
          <w:szCs w:val="24"/>
          <w:lang w:eastAsia="it-IT"/>
        </w:rPr>
        <w:t xml:space="preserve">e che tale </w:t>
      </w:r>
      <w:r w:rsidR="002E310C" w:rsidRPr="00570498">
        <w:rPr>
          <w:bCs/>
          <w:szCs w:val="24"/>
          <w:lang w:eastAsia="it-IT"/>
        </w:rPr>
        <w:t xml:space="preserve">stanziamento </w:t>
      </w:r>
      <w:r w:rsidR="00940511" w:rsidRPr="00570498">
        <w:rPr>
          <w:bCs/>
          <w:szCs w:val="24"/>
          <w:lang w:eastAsia="it-IT"/>
        </w:rPr>
        <w:t xml:space="preserve">è comprensivo </w:t>
      </w:r>
      <w:r w:rsidR="002E310C" w:rsidRPr="00570498">
        <w:rPr>
          <w:bCs/>
          <w:szCs w:val="24"/>
          <w:lang w:eastAsia="it-IT"/>
        </w:rPr>
        <w:t xml:space="preserve">degli importi </w:t>
      </w:r>
      <w:r w:rsidR="00940511" w:rsidRPr="00570498">
        <w:rPr>
          <w:bCs/>
          <w:szCs w:val="24"/>
          <w:lang w:eastAsia="it-IT"/>
        </w:rPr>
        <w:t xml:space="preserve">autorizzati dalla legge </w:t>
      </w:r>
      <w:r w:rsidR="00E1278F" w:rsidRPr="00570498">
        <w:rPr>
          <w:bCs/>
          <w:szCs w:val="24"/>
          <w:lang w:eastAsia="it-IT"/>
        </w:rPr>
        <w:t>30 dicembre 2021, n. 234 (L</w:t>
      </w:r>
      <w:r w:rsidR="00940511" w:rsidRPr="00570498">
        <w:rPr>
          <w:bCs/>
          <w:szCs w:val="24"/>
          <w:lang w:eastAsia="it-IT"/>
        </w:rPr>
        <w:t>egge di bilancio per l’esercizio 2022 e per il triennio 2022-</w:t>
      </w:r>
      <w:r w:rsidR="00940511" w:rsidRPr="00570498">
        <w:rPr>
          <w:bCs/>
          <w:szCs w:val="24"/>
          <w:lang w:eastAsia="it-IT"/>
        </w:rPr>
        <w:lastRenderedPageBreak/>
        <w:t>2024</w:t>
      </w:r>
      <w:r w:rsidR="00E1278F" w:rsidRPr="00570498">
        <w:rPr>
          <w:bCs/>
          <w:szCs w:val="24"/>
          <w:lang w:eastAsia="it-IT"/>
        </w:rPr>
        <w:t>),</w:t>
      </w:r>
      <w:r w:rsidR="00940511" w:rsidRPr="00570498">
        <w:rPr>
          <w:bCs/>
          <w:szCs w:val="24"/>
          <w:lang w:eastAsia="it-IT"/>
        </w:rPr>
        <w:t xml:space="preserve"> ai sensi di quanto disposto dall’articolo 21</w:t>
      </w:r>
      <w:r w:rsidR="008F5934" w:rsidRPr="00570498">
        <w:rPr>
          <w:bCs/>
          <w:szCs w:val="24"/>
          <w:lang w:eastAsia="it-IT"/>
        </w:rPr>
        <w:t>,</w:t>
      </w:r>
      <w:r w:rsidR="00940511" w:rsidRPr="00570498">
        <w:rPr>
          <w:bCs/>
          <w:szCs w:val="24"/>
          <w:lang w:eastAsia="it-IT"/>
        </w:rPr>
        <w:t xml:space="preserve"> comma 2-ter</w:t>
      </w:r>
      <w:r w:rsidR="008F5934" w:rsidRPr="00570498">
        <w:rPr>
          <w:bCs/>
          <w:szCs w:val="24"/>
          <w:lang w:eastAsia="it-IT"/>
        </w:rPr>
        <w:t xml:space="preserve">, </w:t>
      </w:r>
      <w:r w:rsidR="00940511" w:rsidRPr="00570498">
        <w:rPr>
          <w:bCs/>
          <w:szCs w:val="24"/>
          <w:lang w:eastAsia="it-IT"/>
        </w:rPr>
        <w:t xml:space="preserve">della legge </w:t>
      </w:r>
      <w:r w:rsidR="00E1278F" w:rsidRPr="00570498">
        <w:rPr>
          <w:bCs/>
          <w:szCs w:val="24"/>
          <w:lang w:eastAsia="it-IT"/>
        </w:rPr>
        <w:t xml:space="preserve">n. 196 del </w:t>
      </w:r>
      <w:r w:rsidR="00940511" w:rsidRPr="00570498">
        <w:rPr>
          <w:bCs/>
          <w:szCs w:val="24"/>
          <w:lang w:eastAsia="it-IT"/>
        </w:rPr>
        <w:t>2009</w:t>
      </w:r>
      <w:r w:rsidR="002E310C" w:rsidRPr="00570498">
        <w:rPr>
          <w:bCs/>
          <w:szCs w:val="24"/>
          <w:lang w:eastAsia="it-IT"/>
        </w:rPr>
        <w:t>, pari a 100 milioni di euro per l’anno 2022, 200 milioni di euro per l’anno 2023 e 300 milioni di euro per l’anno 2024</w:t>
      </w:r>
      <w:r w:rsidRPr="00570498">
        <w:rPr>
          <w:bCs/>
          <w:szCs w:val="24"/>
          <w:lang w:eastAsia="it-IT"/>
        </w:rPr>
        <w:t>;</w:t>
      </w:r>
    </w:p>
    <w:p w14:paraId="04EF9ED1" w14:textId="4DDF8679" w:rsidR="00EA63D9" w:rsidRPr="00570498" w:rsidRDefault="00EA63D9" w:rsidP="00570498">
      <w:pPr>
        <w:spacing w:line="240" w:lineRule="auto"/>
        <w:jc w:val="both"/>
        <w:rPr>
          <w:bCs/>
          <w:szCs w:val="24"/>
          <w:lang w:eastAsia="it-IT"/>
        </w:rPr>
      </w:pPr>
      <w:r w:rsidRPr="00570498">
        <w:rPr>
          <w:bCs/>
          <w:szCs w:val="24"/>
          <w:lang w:eastAsia="it-IT"/>
        </w:rPr>
        <w:t>VISTO il decreto</w:t>
      </w:r>
      <w:r w:rsidR="00A55045">
        <w:rPr>
          <w:bCs/>
          <w:szCs w:val="24"/>
          <w:lang w:eastAsia="it-IT"/>
        </w:rPr>
        <w:t>-</w:t>
      </w:r>
      <w:r w:rsidRPr="00570498">
        <w:rPr>
          <w:bCs/>
          <w:szCs w:val="24"/>
          <w:lang w:eastAsia="it-IT"/>
        </w:rPr>
        <w:t>legge 16 giugno 2022, n. 68, recante “</w:t>
      </w:r>
      <w:r w:rsidRPr="00570498">
        <w:rPr>
          <w:bCs/>
          <w:i/>
          <w:szCs w:val="24"/>
          <w:lang w:eastAsia="it-IT"/>
        </w:rPr>
        <w:t>Disposizioni urgenti per la sicurezza e lo sviluppo delle infrastrutture, dei trasporti e della mobilità sostenibile, nonché in materia di grandi eventi e per la funzionalità del Ministero delle infrastrutture e della mobilità sostenibili</w:t>
      </w:r>
      <w:r w:rsidRPr="00570498">
        <w:rPr>
          <w:bCs/>
          <w:szCs w:val="24"/>
          <w:lang w:eastAsia="it-IT"/>
        </w:rPr>
        <w:t>”, che, all’articolo 8, comma 5, ha modificato l’importo del Fondo</w:t>
      </w:r>
      <w:r w:rsidR="002B5BE2" w:rsidRPr="00570498">
        <w:rPr>
          <w:bCs/>
          <w:szCs w:val="24"/>
          <w:lang w:eastAsia="it-IT"/>
        </w:rPr>
        <w:t xml:space="preserve"> nazionale</w:t>
      </w:r>
      <w:r w:rsidRPr="00570498">
        <w:rPr>
          <w:bCs/>
          <w:szCs w:val="24"/>
          <w:lang w:eastAsia="it-IT"/>
        </w:rPr>
        <w:t xml:space="preserve"> da destinare alla copertura dei costi di funzionamento dell'Osservatorio di cui a</w:t>
      </w:r>
      <w:r w:rsidR="00F60261" w:rsidRPr="00570498">
        <w:rPr>
          <w:bCs/>
          <w:szCs w:val="24"/>
          <w:lang w:eastAsia="it-IT"/>
        </w:rPr>
        <w:t xml:space="preserve">ll'articolo 1, comma 300, della </w:t>
      </w:r>
      <w:r w:rsidRPr="00570498">
        <w:rPr>
          <w:bCs/>
          <w:szCs w:val="24"/>
          <w:lang w:eastAsia="it-IT"/>
        </w:rPr>
        <w:t>legge 24 dicembre 2007, n. 244 e</w:t>
      </w:r>
      <w:r w:rsidR="00F60261" w:rsidRPr="00570498">
        <w:rPr>
          <w:bCs/>
          <w:szCs w:val="24"/>
          <w:lang w:eastAsia="it-IT"/>
        </w:rPr>
        <w:t>d</w:t>
      </w:r>
      <w:r w:rsidR="006D5E1C" w:rsidRPr="00570498">
        <w:rPr>
          <w:bCs/>
          <w:szCs w:val="24"/>
          <w:lang w:eastAsia="it-IT"/>
        </w:rPr>
        <w:t xml:space="preserve"> </w:t>
      </w:r>
      <w:r w:rsidRPr="00570498">
        <w:rPr>
          <w:bCs/>
          <w:szCs w:val="24"/>
          <w:lang w:eastAsia="it-IT"/>
        </w:rPr>
        <w:t>ha previsto che “</w:t>
      </w:r>
      <w:r w:rsidRPr="00570498">
        <w:rPr>
          <w:bCs/>
          <w:i/>
          <w:szCs w:val="24"/>
          <w:lang w:eastAsia="it-IT"/>
        </w:rPr>
        <w:t>per lo svolgimento delle attività di cui al comma 3, per l'implementazione e lo sviluppo della banca dati dell'Osservatorio, nonché per il conferimento degli incarichi di cui al comma 4, all'articolo 27, comma 2, lettera e-bis), del decreto-legge 24 aprile 2017, n. 50, convertito, con modificazioni, dalla legge 21 giugno 2017, n. 96, le parole: «dello 0,025 per cento dell'ammontare del Fondo» sono sostituite dalle seguenti: «dello 0,105 per cento dell'ammontare del Fondo e, comunque, nel limite massimo di euro 5,2 milioni annui</w:t>
      </w:r>
      <w:r w:rsidRPr="00570498">
        <w:rPr>
          <w:bCs/>
          <w:szCs w:val="24"/>
          <w:lang w:eastAsia="it-IT"/>
        </w:rPr>
        <w:t>”;</w:t>
      </w:r>
    </w:p>
    <w:p w14:paraId="6EDB72F4" w14:textId="5F74EA40" w:rsidR="00EA63D9" w:rsidRPr="00570498" w:rsidRDefault="00EA63D9" w:rsidP="00570498">
      <w:pPr>
        <w:spacing w:line="240" w:lineRule="auto"/>
        <w:jc w:val="both"/>
        <w:rPr>
          <w:bCs/>
          <w:szCs w:val="24"/>
          <w:lang w:eastAsia="it-IT"/>
        </w:rPr>
      </w:pPr>
      <w:r w:rsidRPr="00570498">
        <w:rPr>
          <w:bCs/>
          <w:szCs w:val="24"/>
          <w:lang w:eastAsia="it-IT"/>
        </w:rPr>
        <w:t>CONSIDERATO che il comma 6 dell’articolo 8 del predetto decreto</w:t>
      </w:r>
      <w:r w:rsidR="00A55045">
        <w:rPr>
          <w:bCs/>
          <w:szCs w:val="24"/>
          <w:lang w:eastAsia="it-IT"/>
        </w:rPr>
        <w:t>-</w:t>
      </w:r>
      <w:r w:rsidRPr="00570498">
        <w:rPr>
          <w:bCs/>
          <w:szCs w:val="24"/>
          <w:lang w:eastAsia="it-IT"/>
        </w:rPr>
        <w:t xml:space="preserve">legge 16 giugno 2022, n. 68, ha previsto, limitatamente agli anni 2022, 2023 e 2024, al fine di promuovere la sperimentazione di servizi di </w:t>
      </w:r>
      <w:r w:rsidRPr="00A55045">
        <w:rPr>
          <w:bCs/>
          <w:i/>
          <w:iCs/>
          <w:szCs w:val="24"/>
          <w:lang w:eastAsia="it-IT"/>
        </w:rPr>
        <w:t xml:space="preserve">sharing </w:t>
      </w:r>
      <w:proofErr w:type="spellStart"/>
      <w:r w:rsidRPr="00A55045">
        <w:rPr>
          <w:bCs/>
          <w:i/>
          <w:iCs/>
          <w:szCs w:val="24"/>
          <w:lang w:eastAsia="it-IT"/>
        </w:rPr>
        <w:t>mobility</w:t>
      </w:r>
      <w:proofErr w:type="spellEnd"/>
      <w:r w:rsidRPr="00570498">
        <w:rPr>
          <w:bCs/>
          <w:szCs w:val="24"/>
          <w:lang w:eastAsia="it-IT"/>
        </w:rPr>
        <w:t>, che una quota pari allo 0,3 per cento del Fondo</w:t>
      </w:r>
      <w:r w:rsidR="002B5BE2" w:rsidRPr="00570498">
        <w:rPr>
          <w:bCs/>
          <w:szCs w:val="24"/>
          <w:lang w:eastAsia="it-IT"/>
        </w:rPr>
        <w:t xml:space="preserve"> nazionale </w:t>
      </w:r>
      <w:r w:rsidRPr="00570498">
        <w:rPr>
          <w:bCs/>
          <w:szCs w:val="24"/>
          <w:lang w:eastAsia="it-IT"/>
        </w:rPr>
        <w:t xml:space="preserve">sia </w:t>
      </w:r>
      <w:r w:rsidR="002B5BE2" w:rsidRPr="00570498">
        <w:rPr>
          <w:bCs/>
          <w:szCs w:val="24"/>
          <w:lang w:eastAsia="it-IT"/>
        </w:rPr>
        <w:t xml:space="preserve">destinata </w:t>
      </w:r>
      <w:r w:rsidRPr="00570498">
        <w:rPr>
          <w:bCs/>
          <w:szCs w:val="24"/>
          <w:lang w:eastAsia="it-IT"/>
        </w:rPr>
        <w:t xml:space="preserve">al finanziamento di specifici progetti individuati con uno o più decreti adottati dal Ministro delle infrastrutture e della mobilità sostenibili </w:t>
      </w:r>
      <w:r w:rsidR="00FD2F4F">
        <w:rPr>
          <w:bCs/>
          <w:szCs w:val="24"/>
          <w:lang w:eastAsia="it-IT"/>
        </w:rPr>
        <w:t xml:space="preserve">(ora Ministro della infrastrutture e dei trasporti) </w:t>
      </w:r>
      <w:r w:rsidRPr="00570498">
        <w:rPr>
          <w:bCs/>
          <w:szCs w:val="24"/>
          <w:lang w:eastAsia="it-IT"/>
        </w:rPr>
        <w:t>di concerto con il Ministro dell’economia e delle finanze previa intesa in sede di Conferenza Unificata di cui all’articolo 8</w:t>
      </w:r>
      <w:r w:rsidRPr="00570498">
        <w:rPr>
          <w:bCs/>
        </w:rPr>
        <w:t xml:space="preserve"> </w:t>
      </w:r>
      <w:r w:rsidRPr="00570498">
        <w:rPr>
          <w:bCs/>
          <w:szCs w:val="24"/>
          <w:lang w:eastAsia="it-IT"/>
        </w:rPr>
        <w:t>del decreto legi</w:t>
      </w:r>
      <w:r w:rsidR="00F60261" w:rsidRPr="00570498">
        <w:rPr>
          <w:bCs/>
          <w:szCs w:val="24"/>
          <w:lang w:eastAsia="it-IT"/>
        </w:rPr>
        <w:t>slativo</w:t>
      </w:r>
      <w:r w:rsidR="002B5BE2" w:rsidRPr="00570498">
        <w:rPr>
          <w:bCs/>
          <w:szCs w:val="24"/>
          <w:lang w:eastAsia="it-IT"/>
        </w:rPr>
        <w:t xml:space="preserve"> 28 agosto 1997, n. 281;</w:t>
      </w:r>
    </w:p>
    <w:p w14:paraId="1FE6128E" w14:textId="39C8B903" w:rsidR="00086E62" w:rsidRPr="00570498" w:rsidRDefault="002B5BE2" w:rsidP="00570498">
      <w:pPr>
        <w:spacing w:line="240" w:lineRule="auto"/>
        <w:jc w:val="both"/>
        <w:rPr>
          <w:bCs/>
          <w:szCs w:val="24"/>
          <w:lang w:eastAsia="it-IT"/>
        </w:rPr>
      </w:pPr>
      <w:r w:rsidRPr="00570498">
        <w:rPr>
          <w:bCs/>
          <w:szCs w:val="24"/>
          <w:lang w:eastAsia="it-IT"/>
        </w:rPr>
        <w:t>CONSIDERATO che il successivo comma 7 dell’articolo 8, nel definire la nuova ripartizione delle risorse stanziate per l'esercizio 2022 sul Fondo nazionale, stabilisce, tra l’altro alla lettera c) che le risorse da destinare alle finalità di cui al precedente comma 6 ammontano a euro 14.923.662</w:t>
      </w:r>
      <w:r w:rsidR="00AC0825" w:rsidRPr="00570498">
        <w:rPr>
          <w:bCs/>
          <w:szCs w:val="24"/>
          <w:lang w:eastAsia="it-IT"/>
        </w:rPr>
        <w:t>,00;</w:t>
      </w:r>
    </w:p>
    <w:p w14:paraId="41232809" w14:textId="5439A66B" w:rsidR="00E9165E" w:rsidRPr="00570498" w:rsidRDefault="00E9165E" w:rsidP="00570498">
      <w:pPr>
        <w:spacing w:line="240" w:lineRule="auto"/>
        <w:jc w:val="both"/>
        <w:rPr>
          <w:bCs/>
          <w:szCs w:val="24"/>
          <w:lang w:eastAsia="it-IT"/>
        </w:rPr>
      </w:pPr>
      <w:r w:rsidRPr="00570498">
        <w:rPr>
          <w:bCs/>
          <w:szCs w:val="24"/>
          <w:lang w:eastAsia="it-IT"/>
        </w:rPr>
        <w:t xml:space="preserve">RITENUTO opportuno procedere alla ripartizione delle risorse </w:t>
      </w:r>
      <w:r w:rsidR="00AC0825" w:rsidRPr="00570498">
        <w:rPr>
          <w:bCs/>
          <w:szCs w:val="24"/>
          <w:lang w:eastAsia="it-IT"/>
        </w:rPr>
        <w:t xml:space="preserve">autorizzate </w:t>
      </w:r>
      <w:r w:rsidRPr="00570498">
        <w:rPr>
          <w:bCs/>
          <w:szCs w:val="24"/>
          <w:lang w:eastAsia="it-IT"/>
        </w:rPr>
        <w:t xml:space="preserve">per </w:t>
      </w:r>
      <w:r w:rsidR="00E5567A" w:rsidRPr="00570498">
        <w:rPr>
          <w:bCs/>
          <w:szCs w:val="24"/>
          <w:lang w:eastAsia="it-IT"/>
        </w:rPr>
        <w:t xml:space="preserve">il finanziamento dei </w:t>
      </w:r>
      <w:r w:rsidRPr="00570498">
        <w:rPr>
          <w:bCs/>
          <w:szCs w:val="24"/>
          <w:lang w:eastAsia="it-IT"/>
        </w:rPr>
        <w:t xml:space="preserve">progetti destinati a promuovere i servizi di </w:t>
      </w:r>
      <w:r w:rsidRPr="008B7FF5">
        <w:rPr>
          <w:bCs/>
          <w:i/>
          <w:iCs/>
          <w:szCs w:val="24"/>
          <w:lang w:eastAsia="it-IT"/>
        </w:rPr>
        <w:t xml:space="preserve">sharing </w:t>
      </w:r>
      <w:proofErr w:type="spellStart"/>
      <w:r w:rsidRPr="008B7FF5">
        <w:rPr>
          <w:bCs/>
          <w:i/>
          <w:iCs/>
          <w:szCs w:val="24"/>
          <w:lang w:eastAsia="it-IT"/>
        </w:rPr>
        <w:t>mobility</w:t>
      </w:r>
      <w:proofErr w:type="spellEnd"/>
      <w:r w:rsidRPr="00570498">
        <w:rPr>
          <w:bCs/>
          <w:szCs w:val="24"/>
          <w:lang w:eastAsia="it-IT"/>
        </w:rPr>
        <w:t xml:space="preserve"> con </w:t>
      </w:r>
      <w:r w:rsidR="00C85FB7" w:rsidRPr="00570498">
        <w:rPr>
          <w:bCs/>
          <w:szCs w:val="24"/>
          <w:lang w:eastAsia="it-IT"/>
        </w:rPr>
        <w:t>un</w:t>
      </w:r>
      <w:r w:rsidR="00E5567A" w:rsidRPr="00570498">
        <w:rPr>
          <w:bCs/>
          <w:szCs w:val="24"/>
          <w:lang w:eastAsia="it-IT"/>
        </w:rPr>
        <w:t>o specifico</w:t>
      </w:r>
      <w:r w:rsidR="00C85FB7" w:rsidRPr="00570498">
        <w:rPr>
          <w:bCs/>
          <w:szCs w:val="24"/>
          <w:lang w:eastAsia="it-IT"/>
        </w:rPr>
        <w:t xml:space="preserve"> provvedimento</w:t>
      </w:r>
      <w:r w:rsidRPr="00570498">
        <w:rPr>
          <w:bCs/>
          <w:szCs w:val="24"/>
          <w:lang w:eastAsia="it-IT"/>
        </w:rPr>
        <w:t xml:space="preserve"> di ripartizione del </w:t>
      </w:r>
      <w:r w:rsidR="00E5567A" w:rsidRPr="00570498">
        <w:rPr>
          <w:bCs/>
          <w:szCs w:val="24"/>
          <w:lang w:eastAsia="it-IT"/>
        </w:rPr>
        <w:t xml:space="preserve">Fondo </w:t>
      </w:r>
      <w:r w:rsidRPr="00570498">
        <w:rPr>
          <w:bCs/>
          <w:szCs w:val="24"/>
          <w:lang w:eastAsia="it-IT"/>
        </w:rPr>
        <w:t>nazionale al fine di consentire</w:t>
      </w:r>
      <w:r w:rsidR="00F1599D" w:rsidRPr="00570498">
        <w:rPr>
          <w:bCs/>
          <w:szCs w:val="24"/>
          <w:lang w:eastAsia="it-IT"/>
        </w:rPr>
        <w:t xml:space="preserve">, già dal quarto trimestre 2022, </w:t>
      </w:r>
      <w:r w:rsidR="00F60261" w:rsidRPr="00570498">
        <w:rPr>
          <w:bCs/>
          <w:szCs w:val="24"/>
          <w:lang w:eastAsia="it-IT"/>
        </w:rPr>
        <w:t>l</w:t>
      </w:r>
      <w:r w:rsidR="00F1599D" w:rsidRPr="00570498">
        <w:rPr>
          <w:bCs/>
          <w:szCs w:val="24"/>
          <w:lang w:eastAsia="it-IT"/>
        </w:rPr>
        <w:t>’implementazione di pro</w:t>
      </w:r>
      <w:r w:rsidR="00AC0825" w:rsidRPr="00570498">
        <w:rPr>
          <w:bCs/>
          <w:szCs w:val="24"/>
          <w:lang w:eastAsia="it-IT"/>
        </w:rPr>
        <w:t xml:space="preserve">getti già attivati rispondenti </w:t>
      </w:r>
      <w:r w:rsidR="00F1599D" w:rsidRPr="00570498">
        <w:rPr>
          <w:bCs/>
          <w:szCs w:val="24"/>
          <w:lang w:eastAsia="it-IT"/>
        </w:rPr>
        <w:t>ai criteri fissati con il presente provvedimento o</w:t>
      </w:r>
      <w:r w:rsidRPr="00570498">
        <w:rPr>
          <w:bCs/>
          <w:szCs w:val="24"/>
          <w:lang w:eastAsia="it-IT"/>
        </w:rPr>
        <w:t xml:space="preserve"> l’attivazione dei progetti sperimentali;</w:t>
      </w:r>
    </w:p>
    <w:p w14:paraId="09D2388F" w14:textId="01D557A9" w:rsidR="00E038A4" w:rsidRPr="00570498" w:rsidRDefault="00A05B22" w:rsidP="00570498">
      <w:pPr>
        <w:spacing w:line="240" w:lineRule="auto"/>
        <w:jc w:val="both"/>
        <w:rPr>
          <w:bCs/>
          <w:szCs w:val="24"/>
          <w:lang w:eastAsia="it-IT"/>
        </w:rPr>
      </w:pPr>
      <w:r w:rsidRPr="00570498">
        <w:rPr>
          <w:bCs/>
          <w:szCs w:val="24"/>
          <w:lang w:eastAsia="it-IT"/>
        </w:rPr>
        <w:t>RITENUTO</w:t>
      </w:r>
      <w:r w:rsidR="00E038A4" w:rsidRPr="00570498">
        <w:rPr>
          <w:bCs/>
          <w:szCs w:val="24"/>
          <w:lang w:eastAsia="it-IT"/>
        </w:rPr>
        <w:t xml:space="preserve"> necessario </w:t>
      </w:r>
      <w:r w:rsidR="00E9165E" w:rsidRPr="00570498">
        <w:rPr>
          <w:bCs/>
          <w:szCs w:val="24"/>
          <w:lang w:eastAsia="it-IT"/>
        </w:rPr>
        <w:t>procedere al finanziamento dei progetti in argomento in modo uniforme sull’intero territorio n</w:t>
      </w:r>
      <w:r w:rsidR="00AC0825" w:rsidRPr="00570498">
        <w:rPr>
          <w:bCs/>
          <w:szCs w:val="24"/>
          <w:lang w:eastAsia="it-IT"/>
        </w:rPr>
        <w:t xml:space="preserve">azionale al fine di verificare </w:t>
      </w:r>
      <w:r w:rsidR="00E9165E" w:rsidRPr="00570498">
        <w:rPr>
          <w:bCs/>
          <w:szCs w:val="24"/>
          <w:lang w:eastAsia="it-IT"/>
        </w:rPr>
        <w:t>gli eff</w:t>
      </w:r>
      <w:r w:rsidR="00FE51F6" w:rsidRPr="00570498">
        <w:rPr>
          <w:bCs/>
          <w:szCs w:val="24"/>
          <w:lang w:eastAsia="it-IT"/>
        </w:rPr>
        <w:t>etti della “sperimentazione</w:t>
      </w:r>
      <w:r w:rsidR="008B7FF5">
        <w:rPr>
          <w:bCs/>
          <w:szCs w:val="24"/>
          <w:lang w:eastAsia="it-IT"/>
        </w:rPr>
        <w:t>”</w:t>
      </w:r>
      <w:r w:rsidR="00FE51F6" w:rsidRPr="00570498">
        <w:rPr>
          <w:bCs/>
          <w:szCs w:val="24"/>
          <w:lang w:eastAsia="it-IT"/>
        </w:rPr>
        <w:t xml:space="preserve"> </w:t>
      </w:r>
      <w:r w:rsidR="00E9165E" w:rsidRPr="00570498">
        <w:rPr>
          <w:bCs/>
          <w:szCs w:val="24"/>
          <w:lang w:eastAsia="it-IT"/>
        </w:rPr>
        <w:t xml:space="preserve">in ogni Regione finanziata dal </w:t>
      </w:r>
      <w:r w:rsidR="00E5567A" w:rsidRPr="00570498">
        <w:rPr>
          <w:bCs/>
          <w:szCs w:val="24"/>
          <w:lang w:eastAsia="it-IT"/>
        </w:rPr>
        <w:t>Fondo nazionale</w:t>
      </w:r>
      <w:r w:rsidR="00E9165E" w:rsidRPr="00570498">
        <w:rPr>
          <w:bCs/>
          <w:szCs w:val="24"/>
          <w:lang w:eastAsia="it-IT"/>
        </w:rPr>
        <w:t>;</w:t>
      </w:r>
    </w:p>
    <w:p w14:paraId="602F18AB" w14:textId="60D070A8" w:rsidR="00E038A4" w:rsidRPr="00570498" w:rsidRDefault="00E9165E" w:rsidP="00570498">
      <w:pPr>
        <w:spacing w:line="240" w:lineRule="auto"/>
        <w:jc w:val="both"/>
        <w:rPr>
          <w:bCs/>
          <w:szCs w:val="24"/>
          <w:lang w:eastAsia="it-IT"/>
        </w:rPr>
      </w:pPr>
      <w:r w:rsidRPr="00570498">
        <w:rPr>
          <w:bCs/>
          <w:szCs w:val="24"/>
          <w:lang w:eastAsia="it-IT"/>
        </w:rPr>
        <w:t xml:space="preserve"> </w:t>
      </w:r>
      <w:r w:rsidR="00E038A4" w:rsidRPr="00570498">
        <w:rPr>
          <w:bCs/>
          <w:szCs w:val="24"/>
          <w:lang w:eastAsia="it-IT"/>
        </w:rPr>
        <w:t xml:space="preserve">TENUTO CONTO che i servizi di </w:t>
      </w:r>
      <w:r w:rsidR="00E038A4" w:rsidRPr="008B7FF5">
        <w:rPr>
          <w:bCs/>
          <w:i/>
          <w:iCs/>
          <w:szCs w:val="24"/>
          <w:lang w:eastAsia="it-IT"/>
        </w:rPr>
        <w:t xml:space="preserve">sharing </w:t>
      </w:r>
      <w:proofErr w:type="spellStart"/>
      <w:r w:rsidR="00E038A4" w:rsidRPr="008B7FF5">
        <w:rPr>
          <w:bCs/>
          <w:i/>
          <w:iCs/>
          <w:szCs w:val="24"/>
          <w:lang w:eastAsia="it-IT"/>
        </w:rPr>
        <w:t>mobility</w:t>
      </w:r>
      <w:proofErr w:type="spellEnd"/>
      <w:r w:rsidR="00E038A4" w:rsidRPr="00570498">
        <w:rPr>
          <w:bCs/>
          <w:szCs w:val="24"/>
          <w:lang w:eastAsia="it-IT"/>
        </w:rPr>
        <w:t xml:space="preserve"> sono complementari ai servizi di trasporto pubblico locale;</w:t>
      </w:r>
    </w:p>
    <w:p w14:paraId="51A375C4" w14:textId="5BC26A35" w:rsidR="00883907" w:rsidRPr="00570498" w:rsidRDefault="00E9165E" w:rsidP="00570498">
      <w:pPr>
        <w:spacing w:line="240" w:lineRule="auto"/>
        <w:jc w:val="both"/>
        <w:rPr>
          <w:bCs/>
          <w:szCs w:val="24"/>
          <w:lang w:eastAsia="it-IT"/>
        </w:rPr>
      </w:pPr>
      <w:r w:rsidRPr="00570498">
        <w:rPr>
          <w:bCs/>
          <w:szCs w:val="24"/>
          <w:lang w:eastAsia="it-IT"/>
        </w:rPr>
        <w:t xml:space="preserve">CONSIDERATO che, al fine di dare applicazione al disposto </w:t>
      </w:r>
      <w:r w:rsidR="00361BC2" w:rsidRPr="00570498">
        <w:rPr>
          <w:bCs/>
          <w:szCs w:val="24"/>
          <w:lang w:eastAsia="it-IT"/>
        </w:rPr>
        <w:t xml:space="preserve">del citato </w:t>
      </w:r>
      <w:r w:rsidRPr="00570498">
        <w:rPr>
          <w:bCs/>
          <w:szCs w:val="24"/>
          <w:lang w:eastAsia="it-IT"/>
        </w:rPr>
        <w:t>articolo 8, comma 6, si ritiene opportuno individuare i progetti da ammettere a finanziamento tramite le Regioni</w:t>
      </w:r>
      <w:r w:rsidR="00294AD0" w:rsidRPr="00570498">
        <w:rPr>
          <w:bCs/>
          <w:szCs w:val="24"/>
          <w:lang w:eastAsia="it-IT"/>
        </w:rPr>
        <w:t>,</w:t>
      </w:r>
      <w:r w:rsidRPr="00570498">
        <w:rPr>
          <w:bCs/>
          <w:szCs w:val="24"/>
          <w:lang w:eastAsia="it-IT"/>
        </w:rPr>
        <w:t xml:space="preserve"> in quanto enti territoriali competenti per la programmazione dei servizi di trasporto pubblico locale di cui i </w:t>
      </w:r>
      <w:r w:rsidR="00FE51F6" w:rsidRPr="00570498">
        <w:rPr>
          <w:bCs/>
          <w:szCs w:val="24"/>
          <w:lang w:eastAsia="it-IT"/>
        </w:rPr>
        <w:t xml:space="preserve">servizi </w:t>
      </w:r>
      <w:r w:rsidR="008F5934" w:rsidRPr="00570498">
        <w:rPr>
          <w:bCs/>
          <w:szCs w:val="24"/>
          <w:lang w:eastAsia="it-IT"/>
        </w:rPr>
        <w:t xml:space="preserve">oggetto dei </w:t>
      </w:r>
      <w:r w:rsidRPr="00570498">
        <w:rPr>
          <w:bCs/>
          <w:szCs w:val="24"/>
          <w:lang w:eastAsia="it-IT"/>
        </w:rPr>
        <w:t>progetti medesimi sono complementari;</w:t>
      </w:r>
    </w:p>
    <w:p w14:paraId="7301AD02" w14:textId="3F50EBFB" w:rsidR="00AF0983" w:rsidRPr="00570498" w:rsidRDefault="00E038A4" w:rsidP="00570498">
      <w:pPr>
        <w:spacing w:line="240" w:lineRule="auto"/>
        <w:jc w:val="both"/>
        <w:rPr>
          <w:bCs/>
          <w:szCs w:val="24"/>
          <w:lang w:eastAsia="it-IT"/>
        </w:rPr>
      </w:pPr>
      <w:r w:rsidRPr="00570498">
        <w:rPr>
          <w:bCs/>
          <w:szCs w:val="24"/>
          <w:lang w:eastAsia="it-IT"/>
        </w:rPr>
        <w:t>CONSIDERATO, pertanto,</w:t>
      </w:r>
      <w:r w:rsidR="00AF0983" w:rsidRPr="00570498">
        <w:rPr>
          <w:bCs/>
          <w:szCs w:val="24"/>
          <w:lang w:eastAsia="it-IT"/>
        </w:rPr>
        <w:t xml:space="preserve"> necessario che le Regioni </w:t>
      </w:r>
      <w:r w:rsidR="00CB7CD9" w:rsidRPr="00570498">
        <w:rPr>
          <w:bCs/>
          <w:szCs w:val="24"/>
          <w:lang w:eastAsia="it-IT"/>
        </w:rPr>
        <w:t xml:space="preserve">individuino i progetti dei servizi di </w:t>
      </w:r>
      <w:r w:rsidR="00CB7CD9" w:rsidRPr="008B7FF5">
        <w:rPr>
          <w:bCs/>
          <w:i/>
          <w:iCs/>
          <w:szCs w:val="24"/>
          <w:lang w:eastAsia="it-IT"/>
        </w:rPr>
        <w:t xml:space="preserve">sharing </w:t>
      </w:r>
      <w:proofErr w:type="spellStart"/>
      <w:r w:rsidR="00EE1039" w:rsidRPr="008B7FF5">
        <w:rPr>
          <w:bCs/>
          <w:i/>
          <w:iCs/>
          <w:szCs w:val="24"/>
          <w:lang w:eastAsia="it-IT"/>
        </w:rPr>
        <w:t>mobility</w:t>
      </w:r>
      <w:proofErr w:type="spellEnd"/>
      <w:r w:rsidR="009B6EF9" w:rsidRPr="00570498">
        <w:rPr>
          <w:bCs/>
          <w:szCs w:val="24"/>
          <w:lang w:eastAsia="it-IT"/>
        </w:rPr>
        <w:t xml:space="preserve"> </w:t>
      </w:r>
      <w:r w:rsidR="00CB7CD9" w:rsidRPr="00570498">
        <w:rPr>
          <w:bCs/>
          <w:szCs w:val="24"/>
          <w:lang w:eastAsia="it-IT"/>
        </w:rPr>
        <w:t xml:space="preserve">da ammettere a finanziamento previa istruttoria con gli enti coinvolti nella programmazione dei servizi </w:t>
      </w:r>
      <w:r w:rsidR="00361BC2" w:rsidRPr="00570498">
        <w:rPr>
          <w:bCs/>
          <w:szCs w:val="24"/>
          <w:lang w:eastAsia="it-IT"/>
        </w:rPr>
        <w:t xml:space="preserve">di trasporto pubblico locale </w:t>
      </w:r>
      <w:r w:rsidR="00CB7CD9" w:rsidRPr="00570498">
        <w:rPr>
          <w:bCs/>
          <w:szCs w:val="24"/>
          <w:lang w:eastAsia="it-IT"/>
        </w:rPr>
        <w:t>complementari ai servizi medesimi</w:t>
      </w:r>
      <w:r w:rsidR="00415CB9" w:rsidRPr="00570498">
        <w:rPr>
          <w:bCs/>
          <w:szCs w:val="24"/>
          <w:lang w:eastAsia="it-IT"/>
        </w:rPr>
        <w:t>;</w:t>
      </w:r>
    </w:p>
    <w:p w14:paraId="33048E5F" w14:textId="623AAC93" w:rsidR="00A215A6" w:rsidRPr="00570498" w:rsidRDefault="00A215A6" w:rsidP="00570498">
      <w:pPr>
        <w:spacing w:line="240" w:lineRule="auto"/>
        <w:jc w:val="both"/>
        <w:rPr>
          <w:bCs/>
          <w:szCs w:val="24"/>
          <w:lang w:eastAsia="it-IT"/>
        </w:rPr>
      </w:pPr>
      <w:r w:rsidRPr="00570498">
        <w:rPr>
          <w:bCs/>
          <w:szCs w:val="24"/>
          <w:lang w:eastAsia="it-IT"/>
        </w:rPr>
        <w:lastRenderedPageBreak/>
        <w:t xml:space="preserve">CONSIDERATO, altresì, opportuno che per l’attuazione dei progetti in argomento le Regioni possano avvalersi, quali soggetti attuatori, delle aziende esercenti i servizi di trasporto pubblico locale complementari ai servizi di </w:t>
      </w:r>
      <w:r w:rsidRPr="008B7FF5">
        <w:rPr>
          <w:bCs/>
          <w:i/>
          <w:iCs/>
          <w:szCs w:val="24"/>
          <w:lang w:eastAsia="it-IT"/>
        </w:rPr>
        <w:t xml:space="preserve">sharing </w:t>
      </w:r>
      <w:proofErr w:type="spellStart"/>
      <w:r w:rsidRPr="008B7FF5">
        <w:rPr>
          <w:bCs/>
          <w:i/>
          <w:iCs/>
          <w:szCs w:val="24"/>
          <w:lang w:eastAsia="it-IT"/>
        </w:rPr>
        <w:t>mobility</w:t>
      </w:r>
      <w:proofErr w:type="spellEnd"/>
      <w:r w:rsidRPr="00570498">
        <w:rPr>
          <w:bCs/>
          <w:szCs w:val="24"/>
          <w:lang w:eastAsia="it-IT"/>
        </w:rPr>
        <w:t xml:space="preserve"> oggetto di finanziamento; </w:t>
      </w:r>
    </w:p>
    <w:p w14:paraId="7D1517F9" w14:textId="61781226" w:rsidR="00E9165E" w:rsidRPr="00570498" w:rsidRDefault="00EE1039" w:rsidP="00570498">
      <w:pPr>
        <w:spacing w:line="240" w:lineRule="auto"/>
        <w:jc w:val="both"/>
        <w:rPr>
          <w:bCs/>
          <w:szCs w:val="24"/>
          <w:lang w:eastAsia="it-IT"/>
        </w:rPr>
      </w:pPr>
      <w:r w:rsidRPr="00570498">
        <w:rPr>
          <w:bCs/>
          <w:szCs w:val="24"/>
          <w:lang w:eastAsia="it-IT"/>
        </w:rPr>
        <w:t xml:space="preserve">RITENUTO, </w:t>
      </w:r>
      <w:r w:rsidR="006D1E39" w:rsidRPr="00570498">
        <w:rPr>
          <w:bCs/>
          <w:szCs w:val="24"/>
          <w:lang w:eastAsia="it-IT"/>
        </w:rPr>
        <w:t xml:space="preserve">al fine di una uniforme sperimentazione dei progetti di </w:t>
      </w:r>
      <w:r w:rsidR="006D1E39" w:rsidRPr="008B7FF5">
        <w:rPr>
          <w:bCs/>
          <w:i/>
          <w:iCs/>
          <w:szCs w:val="24"/>
          <w:lang w:eastAsia="it-IT"/>
        </w:rPr>
        <w:t xml:space="preserve">sharing </w:t>
      </w:r>
      <w:proofErr w:type="spellStart"/>
      <w:r w:rsidR="006D1E39" w:rsidRPr="008B7FF5">
        <w:rPr>
          <w:bCs/>
          <w:i/>
          <w:iCs/>
          <w:szCs w:val="24"/>
          <w:lang w:eastAsia="it-IT"/>
        </w:rPr>
        <w:t>mobility</w:t>
      </w:r>
      <w:proofErr w:type="spellEnd"/>
      <w:r w:rsidR="006D1E39" w:rsidRPr="00570498">
        <w:rPr>
          <w:bCs/>
          <w:szCs w:val="24"/>
          <w:lang w:eastAsia="it-IT"/>
        </w:rPr>
        <w:t xml:space="preserve"> a livello nazionale</w:t>
      </w:r>
      <w:r w:rsidRPr="00570498">
        <w:rPr>
          <w:bCs/>
          <w:szCs w:val="24"/>
          <w:lang w:eastAsia="it-IT"/>
        </w:rPr>
        <w:t>,</w:t>
      </w:r>
      <w:r w:rsidR="006D1E39" w:rsidRPr="00570498">
        <w:rPr>
          <w:bCs/>
          <w:szCs w:val="24"/>
          <w:lang w:eastAsia="it-IT"/>
        </w:rPr>
        <w:t xml:space="preserve"> </w:t>
      </w:r>
      <w:r w:rsidR="00E9165E" w:rsidRPr="00570498">
        <w:rPr>
          <w:bCs/>
          <w:szCs w:val="24"/>
          <w:lang w:eastAsia="it-IT"/>
        </w:rPr>
        <w:t xml:space="preserve">procedere ad una ripartizione tra le Regioni in argomento delle risorse stanziate </w:t>
      </w:r>
      <w:r w:rsidR="00A52832" w:rsidRPr="00570498">
        <w:rPr>
          <w:bCs/>
          <w:szCs w:val="24"/>
          <w:lang w:eastAsia="it-IT"/>
        </w:rPr>
        <w:t xml:space="preserve">utilizzando le percentuali di accesso al Fondo nazionale di cui al </w:t>
      </w:r>
      <w:r w:rsidR="00361BC2" w:rsidRPr="00570498">
        <w:rPr>
          <w:bCs/>
          <w:szCs w:val="24"/>
          <w:lang w:eastAsia="it-IT"/>
        </w:rPr>
        <w:t xml:space="preserve">citato </w:t>
      </w:r>
      <w:r w:rsidR="00A52832" w:rsidRPr="00570498">
        <w:rPr>
          <w:bCs/>
          <w:szCs w:val="24"/>
          <w:lang w:eastAsia="it-IT"/>
        </w:rPr>
        <w:t>DPCM 11 marzo 2013</w:t>
      </w:r>
      <w:r w:rsidR="00E9165E" w:rsidRPr="00570498">
        <w:rPr>
          <w:bCs/>
          <w:szCs w:val="24"/>
          <w:lang w:eastAsia="it-IT"/>
        </w:rPr>
        <w:t>;</w:t>
      </w:r>
    </w:p>
    <w:p w14:paraId="4967872E" w14:textId="66F9BF19" w:rsidR="002C6CA0" w:rsidRPr="00570498" w:rsidRDefault="002C6CA0" w:rsidP="00570498">
      <w:pPr>
        <w:spacing w:line="240" w:lineRule="auto"/>
        <w:jc w:val="both"/>
        <w:rPr>
          <w:bCs/>
          <w:szCs w:val="24"/>
          <w:lang w:eastAsia="it-IT"/>
        </w:rPr>
      </w:pPr>
      <w:r w:rsidRPr="00570498">
        <w:rPr>
          <w:bCs/>
          <w:szCs w:val="24"/>
          <w:lang w:eastAsia="it-IT"/>
        </w:rPr>
        <w:t xml:space="preserve">RITENUTO opportuno definire, con il presente provvedimento, le procedure da adottare per la ripartizione dei fondi </w:t>
      </w:r>
      <w:r w:rsidR="00361BC2" w:rsidRPr="00570498">
        <w:rPr>
          <w:bCs/>
          <w:szCs w:val="24"/>
          <w:lang w:eastAsia="it-IT"/>
        </w:rPr>
        <w:t xml:space="preserve">autorizzati </w:t>
      </w:r>
      <w:r w:rsidRPr="00570498">
        <w:rPr>
          <w:bCs/>
          <w:szCs w:val="24"/>
          <w:lang w:eastAsia="it-IT"/>
        </w:rPr>
        <w:t xml:space="preserve">per il finanziamento dei progetti destinati a promuovere i servizi di </w:t>
      </w:r>
      <w:r w:rsidRPr="008B7FF5">
        <w:rPr>
          <w:bCs/>
          <w:i/>
          <w:iCs/>
          <w:szCs w:val="24"/>
          <w:lang w:eastAsia="it-IT"/>
        </w:rPr>
        <w:t xml:space="preserve">sharing </w:t>
      </w:r>
      <w:proofErr w:type="spellStart"/>
      <w:r w:rsidRPr="008B7FF5">
        <w:rPr>
          <w:bCs/>
          <w:i/>
          <w:iCs/>
          <w:szCs w:val="24"/>
          <w:lang w:eastAsia="it-IT"/>
        </w:rPr>
        <w:t>mobility</w:t>
      </w:r>
      <w:proofErr w:type="spellEnd"/>
      <w:r w:rsidR="00294AD0" w:rsidRPr="00570498">
        <w:rPr>
          <w:bCs/>
          <w:szCs w:val="24"/>
          <w:lang w:eastAsia="it-IT"/>
        </w:rPr>
        <w:t>,</w:t>
      </w:r>
      <w:r w:rsidRPr="00570498">
        <w:rPr>
          <w:bCs/>
          <w:szCs w:val="24"/>
          <w:lang w:eastAsia="it-IT"/>
        </w:rPr>
        <w:t xml:space="preserve"> anche per gli anni 2023 e 2024</w:t>
      </w:r>
      <w:r w:rsidR="00294AD0" w:rsidRPr="00570498">
        <w:rPr>
          <w:bCs/>
          <w:szCs w:val="24"/>
          <w:lang w:eastAsia="it-IT"/>
        </w:rPr>
        <w:t>,</w:t>
      </w:r>
      <w:r w:rsidRPr="00570498">
        <w:rPr>
          <w:bCs/>
          <w:szCs w:val="24"/>
          <w:lang w:eastAsia="it-IT"/>
        </w:rPr>
        <w:t xml:space="preserve"> al fine di semplificare le procedure di ripartizione del Fondo nazionale per i medesimi anni;</w:t>
      </w:r>
    </w:p>
    <w:p w14:paraId="54C4C13C" w14:textId="366051F1" w:rsidR="00FA0B97" w:rsidRPr="00570498" w:rsidRDefault="00E9165E" w:rsidP="00570498">
      <w:pPr>
        <w:spacing w:line="240" w:lineRule="auto"/>
        <w:jc w:val="both"/>
        <w:rPr>
          <w:bCs/>
          <w:szCs w:val="24"/>
          <w:lang w:eastAsia="it-IT"/>
        </w:rPr>
      </w:pPr>
      <w:r w:rsidRPr="00570498">
        <w:rPr>
          <w:bCs/>
          <w:szCs w:val="24"/>
          <w:lang w:eastAsia="it-IT"/>
        </w:rPr>
        <w:t>CONSIDERATO</w:t>
      </w:r>
      <w:r w:rsidR="00767061" w:rsidRPr="00570498">
        <w:rPr>
          <w:bCs/>
          <w:szCs w:val="24"/>
          <w:lang w:eastAsia="it-IT"/>
        </w:rPr>
        <w:t xml:space="preserve">, </w:t>
      </w:r>
      <w:r w:rsidRPr="00570498">
        <w:rPr>
          <w:bCs/>
          <w:szCs w:val="24"/>
          <w:lang w:eastAsia="it-IT"/>
        </w:rPr>
        <w:t xml:space="preserve">necessario indicare i criteri </w:t>
      </w:r>
      <w:r w:rsidR="00560C1E" w:rsidRPr="00570498">
        <w:rPr>
          <w:bCs/>
          <w:szCs w:val="24"/>
          <w:lang w:eastAsia="it-IT"/>
        </w:rPr>
        <w:t>che</w:t>
      </w:r>
      <w:r w:rsidRPr="00570498">
        <w:rPr>
          <w:bCs/>
          <w:szCs w:val="24"/>
          <w:lang w:eastAsia="it-IT"/>
        </w:rPr>
        <w:t xml:space="preserve"> le Regioni in argomento, nell’ambito della propria discrezionalità di programmazione, </w:t>
      </w:r>
      <w:r w:rsidR="005B7926" w:rsidRPr="00570498">
        <w:rPr>
          <w:bCs/>
          <w:szCs w:val="24"/>
          <w:lang w:eastAsia="it-IT"/>
        </w:rPr>
        <w:t>possono adottare</w:t>
      </w:r>
      <w:r w:rsidR="00560C1E" w:rsidRPr="00570498">
        <w:rPr>
          <w:bCs/>
          <w:szCs w:val="24"/>
          <w:lang w:eastAsia="it-IT"/>
        </w:rPr>
        <w:t xml:space="preserve"> al fine di </w:t>
      </w:r>
      <w:r w:rsidRPr="00570498">
        <w:rPr>
          <w:bCs/>
          <w:szCs w:val="24"/>
          <w:lang w:eastAsia="it-IT"/>
        </w:rPr>
        <w:t>utilizzare sul prop</w:t>
      </w:r>
      <w:r w:rsidR="00926238" w:rsidRPr="00570498">
        <w:rPr>
          <w:bCs/>
          <w:szCs w:val="24"/>
          <w:lang w:eastAsia="it-IT"/>
        </w:rPr>
        <w:t xml:space="preserve">rio territorio le risorse loro </w:t>
      </w:r>
      <w:r w:rsidRPr="00570498">
        <w:rPr>
          <w:bCs/>
          <w:szCs w:val="24"/>
          <w:lang w:eastAsia="it-IT"/>
        </w:rPr>
        <w:t xml:space="preserve">assegnate per il finanziamento dei </w:t>
      </w:r>
      <w:r w:rsidR="00A05B22" w:rsidRPr="00570498">
        <w:rPr>
          <w:bCs/>
          <w:szCs w:val="24"/>
          <w:lang w:eastAsia="it-IT"/>
        </w:rPr>
        <w:t>progetti di</w:t>
      </w:r>
      <w:r w:rsidRPr="00570498">
        <w:rPr>
          <w:bCs/>
          <w:szCs w:val="24"/>
          <w:lang w:eastAsia="it-IT"/>
        </w:rPr>
        <w:t xml:space="preserve"> cui trattasi;</w:t>
      </w:r>
    </w:p>
    <w:p w14:paraId="65306035" w14:textId="20AD5D10" w:rsidR="00E9165E" w:rsidRPr="00570498" w:rsidRDefault="00E9165E" w:rsidP="00570498">
      <w:pPr>
        <w:spacing w:line="240" w:lineRule="auto"/>
        <w:jc w:val="both"/>
        <w:rPr>
          <w:bCs/>
          <w:szCs w:val="24"/>
          <w:lang w:eastAsia="it-IT"/>
        </w:rPr>
      </w:pPr>
      <w:r w:rsidRPr="00570498">
        <w:rPr>
          <w:bCs/>
          <w:szCs w:val="24"/>
          <w:lang w:eastAsia="it-IT"/>
        </w:rPr>
        <w:t xml:space="preserve">RITENUTO opportuno definire tali criteri tenendo conto della stretta </w:t>
      </w:r>
      <w:r w:rsidR="00A05B22" w:rsidRPr="00570498">
        <w:rPr>
          <w:bCs/>
          <w:szCs w:val="24"/>
          <w:lang w:eastAsia="it-IT"/>
        </w:rPr>
        <w:t>complementarità</w:t>
      </w:r>
      <w:r w:rsidRPr="00570498">
        <w:rPr>
          <w:bCs/>
          <w:szCs w:val="24"/>
          <w:lang w:eastAsia="it-IT"/>
        </w:rPr>
        <w:t xml:space="preserve"> tra i servizi di </w:t>
      </w:r>
      <w:r w:rsidRPr="008B7FF5">
        <w:rPr>
          <w:bCs/>
          <w:i/>
          <w:iCs/>
          <w:szCs w:val="24"/>
          <w:lang w:eastAsia="it-IT"/>
        </w:rPr>
        <w:t xml:space="preserve">sharing </w:t>
      </w:r>
      <w:proofErr w:type="spellStart"/>
      <w:r w:rsidRPr="008B7FF5">
        <w:rPr>
          <w:bCs/>
          <w:i/>
          <w:iCs/>
          <w:szCs w:val="24"/>
          <w:lang w:eastAsia="it-IT"/>
        </w:rPr>
        <w:t>mobility</w:t>
      </w:r>
      <w:proofErr w:type="spellEnd"/>
      <w:r w:rsidRPr="00570498">
        <w:rPr>
          <w:bCs/>
          <w:szCs w:val="24"/>
          <w:lang w:eastAsia="it-IT"/>
        </w:rPr>
        <w:t xml:space="preserve"> ed i servizi di trasporto pubblico</w:t>
      </w:r>
      <w:r w:rsidR="00FE51F6" w:rsidRPr="00570498">
        <w:rPr>
          <w:bCs/>
          <w:szCs w:val="24"/>
          <w:lang w:eastAsia="it-IT"/>
        </w:rPr>
        <w:t xml:space="preserve"> locale </w:t>
      </w:r>
      <w:r w:rsidR="00F1599D" w:rsidRPr="00570498">
        <w:rPr>
          <w:bCs/>
          <w:szCs w:val="24"/>
          <w:lang w:eastAsia="it-IT"/>
        </w:rPr>
        <w:t>e regionale</w:t>
      </w:r>
      <w:r w:rsidRPr="00570498">
        <w:rPr>
          <w:bCs/>
          <w:szCs w:val="24"/>
          <w:lang w:eastAsia="it-IT"/>
        </w:rPr>
        <w:t>;</w:t>
      </w:r>
    </w:p>
    <w:p w14:paraId="09A6ACB2" w14:textId="128A736B" w:rsidR="00372938" w:rsidRPr="00570498" w:rsidRDefault="006E4D00" w:rsidP="00570498">
      <w:pPr>
        <w:spacing w:line="240" w:lineRule="auto"/>
        <w:jc w:val="both"/>
        <w:rPr>
          <w:bCs/>
          <w:szCs w:val="24"/>
          <w:lang w:eastAsia="it-IT"/>
        </w:rPr>
      </w:pPr>
      <w:r w:rsidRPr="00570498">
        <w:rPr>
          <w:bCs/>
          <w:szCs w:val="24"/>
          <w:lang w:eastAsia="it-IT"/>
        </w:rPr>
        <w:t xml:space="preserve">VISTA la Comunicazione della Commissione sulla nozione di aiuto di Stato di cui all'articolo 107, paragrafo 1, del Trattato sul Funzionamento dell'Unione Europea (2016/C 262/01) e, in particolare </w:t>
      </w:r>
    </w:p>
    <w:p w14:paraId="237E3D4A" w14:textId="13990CEB" w:rsidR="00372938" w:rsidRPr="00570498" w:rsidRDefault="00372938" w:rsidP="00570498">
      <w:pPr>
        <w:pStyle w:val="Paragrafoelenco"/>
        <w:numPr>
          <w:ilvl w:val="0"/>
          <w:numId w:val="20"/>
        </w:numPr>
        <w:spacing w:line="240" w:lineRule="auto"/>
        <w:ind w:left="284" w:hanging="284"/>
        <w:jc w:val="both"/>
        <w:rPr>
          <w:bCs/>
          <w:szCs w:val="24"/>
          <w:lang w:eastAsia="it-IT"/>
        </w:rPr>
      </w:pPr>
      <w:r w:rsidRPr="00570498">
        <w:rPr>
          <w:bCs/>
          <w:szCs w:val="24"/>
          <w:lang w:eastAsia="it-IT"/>
        </w:rPr>
        <w:t>i paragrafi 6 e ss. in tema di nozione di impresa ed attività economica;</w:t>
      </w:r>
    </w:p>
    <w:p w14:paraId="3DD3A0D2" w14:textId="2A1284D2" w:rsidR="006E4D00" w:rsidRPr="00570498" w:rsidRDefault="006E4D00" w:rsidP="00570498">
      <w:pPr>
        <w:pStyle w:val="Paragrafoelenco"/>
        <w:numPr>
          <w:ilvl w:val="0"/>
          <w:numId w:val="20"/>
        </w:numPr>
        <w:spacing w:line="240" w:lineRule="auto"/>
        <w:ind w:left="284" w:hanging="284"/>
        <w:jc w:val="both"/>
        <w:rPr>
          <w:bCs/>
          <w:szCs w:val="24"/>
          <w:lang w:eastAsia="it-IT"/>
        </w:rPr>
      </w:pPr>
      <w:r w:rsidRPr="00570498">
        <w:rPr>
          <w:bCs/>
          <w:szCs w:val="24"/>
          <w:lang w:eastAsia="it-IT"/>
        </w:rPr>
        <w:t xml:space="preserve">il paragrafo n. 70 che stabilisce le </w:t>
      </w:r>
      <w:r w:rsidR="002370D3" w:rsidRPr="00570498">
        <w:rPr>
          <w:bCs/>
          <w:szCs w:val="24"/>
          <w:lang w:eastAsia="it-IT"/>
        </w:rPr>
        <w:t>fattispecie</w:t>
      </w:r>
      <w:r w:rsidRPr="00570498">
        <w:rPr>
          <w:bCs/>
          <w:szCs w:val="24"/>
          <w:lang w:eastAsia="it-IT"/>
        </w:rPr>
        <w:t xml:space="preserve"> di assenza del vantaggio nell’ipotesi in cui la misura di finanziamento sia destinata a compensare gli oneri riconducibili alla gestione di un Servizio di Interesse Economico Generale (SIEG);</w:t>
      </w:r>
    </w:p>
    <w:p w14:paraId="23FF7451" w14:textId="64E3721A" w:rsidR="006E4D00" w:rsidRPr="00570498" w:rsidRDefault="006E4D00" w:rsidP="00570498">
      <w:pPr>
        <w:spacing w:line="240" w:lineRule="auto"/>
        <w:jc w:val="both"/>
        <w:rPr>
          <w:bCs/>
          <w:szCs w:val="24"/>
          <w:lang w:eastAsia="it-IT"/>
        </w:rPr>
      </w:pPr>
      <w:r w:rsidRPr="00570498">
        <w:rPr>
          <w:bCs/>
          <w:szCs w:val="24"/>
          <w:lang w:eastAsia="it-IT"/>
        </w:rPr>
        <w:t xml:space="preserve">CONSIDERATO che il principio di “non arrecare un danno significativo” è definito, ai sensi dell’art. 2, comma 1, punto 6), del Regolamento (UE) 2021/21, come segue: “non sostenere o svolgere attività economiche che arrecano un danno significativo all’obiettivo ambientale, ai sensi, ove pertinente, dell’art. 17 del Regolamento UE 2020/852;      </w:t>
      </w:r>
    </w:p>
    <w:p w14:paraId="6239B261" w14:textId="77777777" w:rsidR="00E038A4" w:rsidRPr="00570498" w:rsidRDefault="00E038A4" w:rsidP="00570498">
      <w:pPr>
        <w:spacing w:line="240" w:lineRule="auto"/>
        <w:jc w:val="both"/>
        <w:rPr>
          <w:bCs/>
          <w:szCs w:val="24"/>
          <w:lang w:eastAsia="it-IT"/>
        </w:rPr>
      </w:pPr>
      <w:r w:rsidRPr="00570498">
        <w:rPr>
          <w:bCs/>
          <w:szCs w:val="24"/>
          <w:lang w:eastAsia="it-IT"/>
        </w:rPr>
        <w:t>CONSIDERATO che lo stanziamento triennale può produrre effetti più significativi se destinato a progetti aventi la medesima durata temporale;</w:t>
      </w:r>
    </w:p>
    <w:p w14:paraId="51BB27F8" w14:textId="580A4B4E" w:rsidR="00E9165E" w:rsidRPr="00570498" w:rsidRDefault="00E9165E" w:rsidP="00570498">
      <w:pPr>
        <w:spacing w:line="240" w:lineRule="auto"/>
        <w:jc w:val="both"/>
        <w:rPr>
          <w:bCs/>
          <w:szCs w:val="24"/>
          <w:lang w:eastAsia="it-IT"/>
        </w:rPr>
      </w:pPr>
      <w:r w:rsidRPr="00570498">
        <w:rPr>
          <w:bCs/>
          <w:szCs w:val="24"/>
          <w:lang w:eastAsia="it-IT"/>
        </w:rPr>
        <w:t>CONSIDERATO</w:t>
      </w:r>
      <w:r w:rsidR="00926238" w:rsidRPr="00570498">
        <w:rPr>
          <w:bCs/>
          <w:szCs w:val="24"/>
          <w:lang w:eastAsia="it-IT"/>
        </w:rPr>
        <w:t xml:space="preserve"> necessario </w:t>
      </w:r>
      <w:r w:rsidRPr="00570498">
        <w:rPr>
          <w:bCs/>
          <w:szCs w:val="24"/>
          <w:lang w:eastAsia="it-IT"/>
        </w:rPr>
        <w:t xml:space="preserve">che le </w:t>
      </w:r>
      <w:r w:rsidR="00CA1CF4" w:rsidRPr="00570498">
        <w:rPr>
          <w:bCs/>
          <w:szCs w:val="24"/>
          <w:lang w:eastAsia="it-IT"/>
        </w:rPr>
        <w:t xml:space="preserve">Regioni </w:t>
      </w:r>
      <w:r w:rsidR="002C6CA0" w:rsidRPr="00570498">
        <w:rPr>
          <w:bCs/>
          <w:szCs w:val="24"/>
          <w:lang w:eastAsia="it-IT"/>
        </w:rPr>
        <w:t xml:space="preserve">entro 180 giorni dall’efficacia del presente provvedimento </w:t>
      </w:r>
      <w:r w:rsidRPr="00570498">
        <w:rPr>
          <w:bCs/>
          <w:szCs w:val="24"/>
          <w:lang w:eastAsia="it-IT"/>
        </w:rPr>
        <w:t xml:space="preserve">comunichino </w:t>
      </w:r>
      <w:r w:rsidR="002C6CA0" w:rsidRPr="00570498">
        <w:rPr>
          <w:bCs/>
          <w:szCs w:val="24"/>
          <w:lang w:eastAsia="it-IT"/>
        </w:rPr>
        <w:t>l’elenco dei progetti ammessi a contributo specificando per ciascun progetto il soggetto beneficiario, l’entità del contributo, la tipologia del servizio,</w:t>
      </w:r>
      <w:r w:rsidR="00F1599D" w:rsidRPr="00570498">
        <w:rPr>
          <w:bCs/>
          <w:szCs w:val="24"/>
          <w:lang w:eastAsia="it-IT"/>
        </w:rPr>
        <w:t xml:space="preserve"> il cronoprogramma della spesa sulle annualità di riferimento e </w:t>
      </w:r>
      <w:r w:rsidR="002C6CA0" w:rsidRPr="00570498">
        <w:rPr>
          <w:bCs/>
          <w:szCs w:val="24"/>
          <w:lang w:eastAsia="it-IT"/>
        </w:rPr>
        <w:t xml:space="preserve">la rispondenza del progetto ai criteri uniformi definiti con il </w:t>
      </w:r>
      <w:r w:rsidR="005745C0" w:rsidRPr="00570498">
        <w:rPr>
          <w:bCs/>
          <w:szCs w:val="24"/>
          <w:lang w:eastAsia="it-IT"/>
        </w:rPr>
        <w:t>medesimo provvedimento;</w:t>
      </w:r>
      <w:r w:rsidRPr="00570498">
        <w:rPr>
          <w:bCs/>
          <w:szCs w:val="24"/>
          <w:lang w:eastAsia="it-IT"/>
        </w:rPr>
        <w:t xml:space="preserve"> </w:t>
      </w:r>
    </w:p>
    <w:p w14:paraId="13F92785" w14:textId="16F54405" w:rsidR="00E9165E" w:rsidRPr="00570498" w:rsidRDefault="00E9165E" w:rsidP="00570498">
      <w:pPr>
        <w:spacing w:line="240" w:lineRule="auto"/>
        <w:jc w:val="both"/>
        <w:rPr>
          <w:bCs/>
          <w:szCs w:val="24"/>
          <w:lang w:eastAsia="it-IT"/>
        </w:rPr>
      </w:pPr>
      <w:r w:rsidRPr="00570498">
        <w:rPr>
          <w:bCs/>
          <w:szCs w:val="24"/>
          <w:lang w:eastAsia="it-IT"/>
        </w:rPr>
        <w:t xml:space="preserve">CONSIDERATO altresì opportuno subordinare l’erogazione delle risorse assegnate per gli anni </w:t>
      </w:r>
      <w:r w:rsidR="00926238" w:rsidRPr="00570498">
        <w:rPr>
          <w:bCs/>
          <w:szCs w:val="24"/>
          <w:lang w:eastAsia="it-IT"/>
        </w:rPr>
        <w:t xml:space="preserve">2023 e 2024 alla comunicazione </w:t>
      </w:r>
      <w:r w:rsidRPr="00570498">
        <w:rPr>
          <w:bCs/>
          <w:szCs w:val="24"/>
          <w:lang w:eastAsia="it-IT"/>
        </w:rPr>
        <w:t>di cui sopra</w:t>
      </w:r>
      <w:r w:rsidR="00F1599D" w:rsidRPr="00570498">
        <w:rPr>
          <w:bCs/>
          <w:szCs w:val="24"/>
          <w:lang w:eastAsia="it-IT"/>
        </w:rPr>
        <w:t>;</w:t>
      </w:r>
    </w:p>
    <w:p w14:paraId="586DC54C" w14:textId="471654C3" w:rsidR="00E9165E" w:rsidRPr="00570498" w:rsidRDefault="00E9165E" w:rsidP="00570498">
      <w:pPr>
        <w:spacing w:line="240" w:lineRule="auto"/>
        <w:jc w:val="both"/>
        <w:rPr>
          <w:bCs/>
          <w:szCs w:val="24"/>
          <w:lang w:eastAsia="it-IT"/>
        </w:rPr>
      </w:pPr>
      <w:r w:rsidRPr="00570498">
        <w:rPr>
          <w:bCs/>
          <w:szCs w:val="24"/>
          <w:lang w:eastAsia="it-IT"/>
        </w:rPr>
        <w:t>VISTA l’intesa in Conferenza Unificata</w:t>
      </w:r>
      <w:r w:rsidR="005B7926" w:rsidRPr="00570498">
        <w:rPr>
          <w:bCs/>
          <w:szCs w:val="24"/>
          <w:lang w:eastAsia="it-IT"/>
        </w:rPr>
        <w:t xml:space="preserve"> sancita nella seduta del</w:t>
      </w:r>
      <w:r w:rsidR="008B7FF5">
        <w:rPr>
          <w:bCs/>
          <w:szCs w:val="24"/>
          <w:lang w:eastAsia="it-IT"/>
        </w:rPr>
        <w:t>__________________</w:t>
      </w:r>
      <w:r w:rsidR="005B7926" w:rsidRPr="00570498">
        <w:rPr>
          <w:bCs/>
          <w:szCs w:val="24"/>
          <w:lang w:eastAsia="it-IT"/>
        </w:rPr>
        <w:t xml:space="preserve"> </w:t>
      </w:r>
    </w:p>
    <w:p w14:paraId="4C96A96E" w14:textId="4AEEB0C2" w:rsidR="00E6782C" w:rsidRDefault="00E6782C" w:rsidP="00D20076">
      <w:pPr>
        <w:spacing w:after="0" w:line="240" w:lineRule="auto"/>
        <w:ind w:left="567" w:right="567" w:hanging="567"/>
        <w:jc w:val="center"/>
        <w:rPr>
          <w:b/>
          <w:szCs w:val="24"/>
          <w:lang w:eastAsia="it-IT"/>
        </w:rPr>
      </w:pPr>
    </w:p>
    <w:p w14:paraId="41FFED79" w14:textId="77777777" w:rsidR="00E6782C" w:rsidRDefault="00E6782C" w:rsidP="00D20076">
      <w:pPr>
        <w:spacing w:after="0" w:line="240" w:lineRule="auto"/>
        <w:ind w:left="567" w:right="567" w:hanging="567"/>
        <w:jc w:val="center"/>
        <w:rPr>
          <w:b/>
          <w:szCs w:val="24"/>
          <w:lang w:eastAsia="it-IT"/>
        </w:rPr>
      </w:pPr>
    </w:p>
    <w:p w14:paraId="5DD27F49" w14:textId="5AB77F2C" w:rsidR="003A15EB" w:rsidRPr="00D20076" w:rsidRDefault="003A15EB" w:rsidP="00D20076">
      <w:pPr>
        <w:spacing w:after="0" w:line="240" w:lineRule="auto"/>
        <w:ind w:left="567" w:right="567" w:hanging="567"/>
        <w:jc w:val="center"/>
        <w:rPr>
          <w:b/>
          <w:szCs w:val="24"/>
          <w:lang w:eastAsia="it-IT"/>
        </w:rPr>
      </w:pPr>
      <w:r w:rsidRPr="00D20076">
        <w:rPr>
          <w:b/>
          <w:szCs w:val="24"/>
          <w:lang w:eastAsia="it-IT"/>
        </w:rPr>
        <w:t>DECRETA</w:t>
      </w:r>
    </w:p>
    <w:p w14:paraId="6F6A0C87" w14:textId="7090A923" w:rsidR="00E17E14" w:rsidRDefault="00E17E14" w:rsidP="00701934">
      <w:pPr>
        <w:spacing w:after="0" w:line="240" w:lineRule="auto"/>
        <w:ind w:left="567" w:right="567" w:hanging="567"/>
        <w:jc w:val="center"/>
        <w:rPr>
          <w:szCs w:val="24"/>
          <w:lang w:eastAsia="it-IT"/>
        </w:rPr>
      </w:pPr>
    </w:p>
    <w:p w14:paraId="78B58D23" w14:textId="77777777" w:rsidR="008B7FF5" w:rsidRPr="00653C8D" w:rsidRDefault="008B7FF5" w:rsidP="00701934">
      <w:pPr>
        <w:spacing w:after="0" w:line="240" w:lineRule="auto"/>
        <w:ind w:left="567" w:right="567" w:hanging="567"/>
        <w:jc w:val="center"/>
        <w:rPr>
          <w:szCs w:val="24"/>
          <w:lang w:eastAsia="it-IT"/>
        </w:rPr>
      </w:pPr>
    </w:p>
    <w:p w14:paraId="526F954C" w14:textId="77777777" w:rsidR="00E17E14" w:rsidRPr="00653C8D" w:rsidRDefault="00E17E14" w:rsidP="00701934">
      <w:pPr>
        <w:spacing w:after="0" w:line="240" w:lineRule="auto"/>
        <w:ind w:left="567" w:right="567" w:hanging="567"/>
        <w:jc w:val="center"/>
        <w:rPr>
          <w:szCs w:val="24"/>
          <w:lang w:eastAsia="it-IT"/>
        </w:rPr>
      </w:pPr>
    </w:p>
    <w:p w14:paraId="1DBF6100" w14:textId="77777777" w:rsidR="00E17E14" w:rsidRPr="00D20076" w:rsidRDefault="00D20076" w:rsidP="00701934">
      <w:pPr>
        <w:spacing w:after="0" w:line="240" w:lineRule="auto"/>
        <w:ind w:left="567" w:right="567" w:hanging="567"/>
        <w:jc w:val="center"/>
        <w:rPr>
          <w:b/>
          <w:szCs w:val="24"/>
          <w:lang w:eastAsia="it-IT"/>
        </w:rPr>
      </w:pPr>
      <w:r w:rsidRPr="00D20076">
        <w:rPr>
          <w:b/>
          <w:szCs w:val="24"/>
          <w:lang w:eastAsia="it-IT"/>
        </w:rPr>
        <w:lastRenderedPageBreak/>
        <w:t xml:space="preserve">Art. 1 </w:t>
      </w:r>
    </w:p>
    <w:p w14:paraId="51F8EF0D" w14:textId="77777777" w:rsidR="00D20076" w:rsidRDefault="00D20076" w:rsidP="00701934">
      <w:pPr>
        <w:spacing w:after="0" w:line="240" w:lineRule="auto"/>
        <w:ind w:left="567" w:right="567" w:hanging="567"/>
        <w:jc w:val="center"/>
        <w:rPr>
          <w:b/>
          <w:i/>
          <w:szCs w:val="24"/>
          <w:lang w:eastAsia="it-IT"/>
        </w:rPr>
      </w:pPr>
      <w:r w:rsidRPr="00D20076">
        <w:rPr>
          <w:b/>
          <w:i/>
          <w:szCs w:val="24"/>
          <w:lang w:eastAsia="it-IT"/>
        </w:rPr>
        <w:t>(Ripartizione delle risorse)</w:t>
      </w:r>
    </w:p>
    <w:p w14:paraId="55F7AC73" w14:textId="77777777" w:rsidR="00D20076" w:rsidRPr="00D20076" w:rsidRDefault="00D20076" w:rsidP="00701934">
      <w:pPr>
        <w:spacing w:after="0" w:line="240" w:lineRule="auto"/>
        <w:ind w:left="567" w:right="567" w:hanging="567"/>
        <w:jc w:val="center"/>
        <w:rPr>
          <w:b/>
          <w:i/>
          <w:szCs w:val="24"/>
          <w:lang w:eastAsia="it-IT"/>
        </w:rPr>
      </w:pPr>
    </w:p>
    <w:p w14:paraId="199F92BE" w14:textId="520D73ED" w:rsidR="00E17E14" w:rsidRDefault="00D20076" w:rsidP="001910FE">
      <w:pPr>
        <w:spacing w:after="0" w:line="240" w:lineRule="auto"/>
        <w:ind w:left="567" w:hanging="567"/>
        <w:jc w:val="both"/>
        <w:rPr>
          <w:szCs w:val="24"/>
          <w:lang w:eastAsia="it-IT"/>
        </w:rPr>
      </w:pPr>
      <w:r>
        <w:rPr>
          <w:szCs w:val="24"/>
          <w:lang w:eastAsia="it-IT"/>
        </w:rPr>
        <w:t xml:space="preserve">1. </w:t>
      </w:r>
      <w:r w:rsidR="001910FE">
        <w:rPr>
          <w:szCs w:val="24"/>
          <w:lang w:eastAsia="it-IT"/>
        </w:rPr>
        <w:tab/>
      </w:r>
      <w:r>
        <w:rPr>
          <w:szCs w:val="24"/>
          <w:lang w:eastAsia="it-IT"/>
        </w:rPr>
        <w:t>Le risorse destinate</w:t>
      </w:r>
      <w:r w:rsidR="005B7926">
        <w:rPr>
          <w:szCs w:val="24"/>
          <w:lang w:eastAsia="it-IT"/>
        </w:rPr>
        <w:t>, ai sensi</w:t>
      </w:r>
      <w:r>
        <w:rPr>
          <w:szCs w:val="24"/>
          <w:lang w:eastAsia="it-IT"/>
        </w:rPr>
        <w:t xml:space="preserve"> d</w:t>
      </w:r>
      <w:r w:rsidR="005B7926">
        <w:rPr>
          <w:szCs w:val="24"/>
          <w:lang w:eastAsia="it-IT"/>
        </w:rPr>
        <w:t>e</w:t>
      </w:r>
      <w:r>
        <w:rPr>
          <w:szCs w:val="24"/>
          <w:lang w:eastAsia="it-IT"/>
        </w:rPr>
        <w:t>ll’articolo 8, comma 6,</w:t>
      </w:r>
      <w:r w:rsidRPr="00D20076">
        <w:rPr>
          <w:szCs w:val="24"/>
          <w:lang w:eastAsia="it-IT"/>
        </w:rPr>
        <w:t xml:space="preserve"> </w:t>
      </w:r>
      <w:r>
        <w:rPr>
          <w:szCs w:val="24"/>
          <w:lang w:eastAsia="it-IT"/>
        </w:rPr>
        <w:t xml:space="preserve">del </w:t>
      </w:r>
      <w:r w:rsidR="005B7926">
        <w:rPr>
          <w:szCs w:val="24"/>
          <w:lang w:eastAsia="it-IT"/>
        </w:rPr>
        <w:t>decreto</w:t>
      </w:r>
      <w:r w:rsidR="00CA1CF4">
        <w:rPr>
          <w:szCs w:val="24"/>
          <w:lang w:eastAsia="it-IT"/>
        </w:rPr>
        <w:t>-legge</w:t>
      </w:r>
      <w:r>
        <w:rPr>
          <w:szCs w:val="24"/>
          <w:lang w:eastAsia="it-IT"/>
        </w:rPr>
        <w:t xml:space="preserve"> 16 giugno 2022, n. 68, al finanziamento dei progetti destinati a promuovere i </w:t>
      </w:r>
      <w:r w:rsidRPr="00653C8D">
        <w:rPr>
          <w:szCs w:val="24"/>
          <w:lang w:eastAsia="it-IT"/>
        </w:rPr>
        <w:t xml:space="preserve">servizi di </w:t>
      </w:r>
      <w:r w:rsidRPr="001910FE">
        <w:rPr>
          <w:i/>
          <w:iCs/>
          <w:szCs w:val="24"/>
          <w:lang w:eastAsia="it-IT"/>
        </w:rPr>
        <w:t xml:space="preserve">sharing </w:t>
      </w:r>
      <w:proofErr w:type="spellStart"/>
      <w:r w:rsidRPr="001910FE">
        <w:rPr>
          <w:i/>
          <w:iCs/>
          <w:szCs w:val="24"/>
          <w:lang w:eastAsia="it-IT"/>
        </w:rPr>
        <w:t>mobility</w:t>
      </w:r>
      <w:proofErr w:type="spellEnd"/>
      <w:r>
        <w:rPr>
          <w:szCs w:val="24"/>
          <w:lang w:eastAsia="it-IT"/>
        </w:rPr>
        <w:t>, pari per l’esercizio 2022 ad euro 14.923.662,00, sono ripartite tra le Regioni come indicato nella tabella di seguito riportata</w:t>
      </w:r>
      <w:r w:rsidR="00CE65D1">
        <w:rPr>
          <w:szCs w:val="24"/>
          <w:lang w:eastAsia="it-IT"/>
        </w:rPr>
        <w:t>.</w:t>
      </w:r>
    </w:p>
    <w:p w14:paraId="0CFA1D86" w14:textId="77777777" w:rsidR="004513DA" w:rsidRDefault="004513DA" w:rsidP="00E9165E">
      <w:pPr>
        <w:spacing w:after="0" w:line="240" w:lineRule="auto"/>
        <w:jc w:val="both"/>
        <w:rPr>
          <w:szCs w:val="24"/>
          <w:lang w:eastAsia="it-IT"/>
        </w:rPr>
      </w:pPr>
    </w:p>
    <w:p w14:paraId="724B5D71" w14:textId="1CD09B38" w:rsidR="004513DA" w:rsidRDefault="004E156B" w:rsidP="005B7926">
      <w:pPr>
        <w:spacing w:after="0" w:line="240" w:lineRule="auto"/>
        <w:jc w:val="center"/>
        <w:rPr>
          <w:szCs w:val="24"/>
          <w:lang w:eastAsia="it-IT"/>
        </w:rPr>
      </w:pPr>
      <w:r w:rsidRPr="004E156B">
        <w:rPr>
          <w:noProof/>
          <w:lang w:eastAsia="it-IT"/>
        </w:rPr>
        <w:drawing>
          <wp:inline distT="0" distB="0" distL="0" distR="0" wp14:anchorId="58FCC4EE" wp14:editId="0F22A104">
            <wp:extent cx="3882393" cy="4638675"/>
            <wp:effectExtent l="0" t="0" r="381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3186" cy="4663518"/>
                    </a:xfrm>
                    <a:prstGeom prst="rect">
                      <a:avLst/>
                    </a:prstGeom>
                    <a:noFill/>
                    <a:ln>
                      <a:noFill/>
                    </a:ln>
                  </pic:spPr>
                </pic:pic>
              </a:graphicData>
            </a:graphic>
          </wp:inline>
        </w:drawing>
      </w:r>
    </w:p>
    <w:p w14:paraId="19CD4A22" w14:textId="77777777" w:rsidR="00D20076" w:rsidRDefault="00D20076" w:rsidP="00E9165E">
      <w:pPr>
        <w:spacing w:after="0" w:line="240" w:lineRule="auto"/>
        <w:jc w:val="both"/>
        <w:rPr>
          <w:szCs w:val="24"/>
          <w:lang w:eastAsia="it-IT"/>
        </w:rPr>
      </w:pPr>
    </w:p>
    <w:p w14:paraId="0D1F5EDB" w14:textId="7E40FB25" w:rsidR="003F06DE" w:rsidRDefault="003F06DE" w:rsidP="001910FE">
      <w:pPr>
        <w:spacing w:after="0" w:line="240" w:lineRule="auto"/>
        <w:ind w:left="567" w:hanging="567"/>
        <w:jc w:val="both"/>
        <w:rPr>
          <w:szCs w:val="24"/>
          <w:lang w:eastAsia="it-IT"/>
        </w:rPr>
      </w:pPr>
      <w:r w:rsidRPr="003F06DE">
        <w:rPr>
          <w:szCs w:val="24"/>
          <w:lang w:eastAsia="it-IT"/>
        </w:rPr>
        <w:t xml:space="preserve">2. </w:t>
      </w:r>
      <w:r w:rsidR="001910FE">
        <w:rPr>
          <w:szCs w:val="24"/>
          <w:lang w:eastAsia="it-IT"/>
        </w:rPr>
        <w:tab/>
      </w:r>
      <w:r w:rsidRPr="003F06DE">
        <w:rPr>
          <w:szCs w:val="24"/>
          <w:lang w:eastAsia="it-IT"/>
        </w:rPr>
        <w:t>Gli importi di cui al comma 1 sono impegnati ed erogati in favore di ciascuna Regione con successivi provvedimenti dirigenziali</w:t>
      </w:r>
      <w:r>
        <w:rPr>
          <w:szCs w:val="24"/>
          <w:lang w:eastAsia="it-IT"/>
        </w:rPr>
        <w:t xml:space="preserve"> </w:t>
      </w:r>
      <w:r w:rsidRPr="003F06DE">
        <w:rPr>
          <w:szCs w:val="24"/>
          <w:lang w:eastAsia="it-IT"/>
        </w:rPr>
        <w:t xml:space="preserve">a seguito della registrazione da parte degli organi di controllo del presente </w:t>
      </w:r>
      <w:r>
        <w:rPr>
          <w:szCs w:val="24"/>
          <w:lang w:eastAsia="it-IT"/>
        </w:rPr>
        <w:t>decreto</w:t>
      </w:r>
      <w:r w:rsidRPr="003F06DE">
        <w:rPr>
          <w:szCs w:val="24"/>
          <w:lang w:eastAsia="it-IT"/>
        </w:rPr>
        <w:t>.</w:t>
      </w:r>
    </w:p>
    <w:p w14:paraId="29BFAF3F" w14:textId="1DEFACDC" w:rsidR="004E156B" w:rsidRDefault="004E156B" w:rsidP="001910FE">
      <w:pPr>
        <w:spacing w:after="0" w:line="240" w:lineRule="auto"/>
        <w:ind w:left="567" w:hanging="567"/>
        <w:jc w:val="both"/>
        <w:rPr>
          <w:szCs w:val="24"/>
          <w:lang w:eastAsia="it-IT"/>
        </w:rPr>
      </w:pPr>
      <w:r>
        <w:rPr>
          <w:szCs w:val="24"/>
          <w:lang w:eastAsia="it-IT"/>
        </w:rPr>
        <w:t>3</w:t>
      </w:r>
      <w:r w:rsidR="00D20076">
        <w:rPr>
          <w:szCs w:val="24"/>
          <w:lang w:eastAsia="it-IT"/>
        </w:rPr>
        <w:t xml:space="preserve">. </w:t>
      </w:r>
      <w:r w:rsidR="001910FE">
        <w:rPr>
          <w:szCs w:val="24"/>
          <w:lang w:eastAsia="it-IT"/>
        </w:rPr>
        <w:tab/>
      </w:r>
      <w:r w:rsidR="00E45D44">
        <w:rPr>
          <w:szCs w:val="24"/>
          <w:lang w:eastAsia="it-IT"/>
        </w:rPr>
        <w:t xml:space="preserve">Per gli anni 2023 e 2024 le quote del Fondo nazionale destinate, ai sensi del citato articolo 8, comma 6, </w:t>
      </w:r>
      <w:r w:rsidR="00E45D44" w:rsidRPr="00E45D44">
        <w:rPr>
          <w:szCs w:val="24"/>
          <w:lang w:eastAsia="it-IT"/>
        </w:rPr>
        <w:t xml:space="preserve">al finanziamento dei progetti </w:t>
      </w:r>
      <w:r>
        <w:rPr>
          <w:szCs w:val="24"/>
          <w:lang w:eastAsia="it-IT"/>
        </w:rPr>
        <w:t>volti</w:t>
      </w:r>
      <w:r w:rsidR="00E45D44" w:rsidRPr="00E45D44">
        <w:rPr>
          <w:szCs w:val="24"/>
          <w:lang w:eastAsia="it-IT"/>
        </w:rPr>
        <w:t xml:space="preserve"> a promuovere i servizi di </w:t>
      </w:r>
      <w:r w:rsidR="00E45D44" w:rsidRPr="001910FE">
        <w:rPr>
          <w:i/>
          <w:iCs/>
          <w:szCs w:val="24"/>
          <w:lang w:eastAsia="it-IT"/>
        </w:rPr>
        <w:t xml:space="preserve">sharing </w:t>
      </w:r>
      <w:proofErr w:type="spellStart"/>
      <w:r w:rsidR="00E45D44" w:rsidRPr="001910FE">
        <w:rPr>
          <w:i/>
          <w:iCs/>
          <w:szCs w:val="24"/>
          <w:lang w:eastAsia="it-IT"/>
        </w:rPr>
        <w:t>mobility</w:t>
      </w:r>
      <w:proofErr w:type="spellEnd"/>
      <w:r w:rsidR="00E45D44">
        <w:rPr>
          <w:szCs w:val="24"/>
          <w:lang w:eastAsia="it-IT"/>
        </w:rPr>
        <w:t xml:space="preserve">, </w:t>
      </w:r>
      <w:r>
        <w:rPr>
          <w:szCs w:val="24"/>
          <w:lang w:eastAsia="it-IT"/>
        </w:rPr>
        <w:t xml:space="preserve">ottenute applicando una quota pari allo 0,3 per cento allo stanziamento di ciascun anno, </w:t>
      </w:r>
      <w:r w:rsidR="00E45D44">
        <w:rPr>
          <w:szCs w:val="24"/>
          <w:lang w:eastAsia="it-IT"/>
        </w:rPr>
        <w:t xml:space="preserve">sono pari a </w:t>
      </w:r>
      <w:r w:rsidR="00E45D44" w:rsidRPr="00E45D44">
        <w:rPr>
          <w:szCs w:val="24"/>
          <w:lang w:eastAsia="it-IT"/>
        </w:rPr>
        <w:t xml:space="preserve">15.223.662 </w:t>
      </w:r>
      <w:r>
        <w:rPr>
          <w:szCs w:val="24"/>
          <w:lang w:eastAsia="it-IT"/>
        </w:rPr>
        <w:t>euro per l’anno 2023 e 1</w:t>
      </w:r>
      <w:r w:rsidR="00E45D44" w:rsidRPr="00E45D44">
        <w:rPr>
          <w:szCs w:val="24"/>
          <w:lang w:eastAsia="it-IT"/>
        </w:rPr>
        <w:t>5.523.662</w:t>
      </w:r>
      <w:r>
        <w:rPr>
          <w:szCs w:val="24"/>
          <w:lang w:eastAsia="it-IT"/>
        </w:rPr>
        <w:t xml:space="preserve"> euro per l’anno 2024.</w:t>
      </w:r>
    </w:p>
    <w:p w14:paraId="48C13E6C" w14:textId="0EC7357D" w:rsidR="004E156B" w:rsidRDefault="004E156B" w:rsidP="001910FE">
      <w:pPr>
        <w:spacing w:after="0" w:line="240" w:lineRule="auto"/>
        <w:ind w:left="567" w:hanging="567"/>
        <w:jc w:val="both"/>
        <w:rPr>
          <w:szCs w:val="24"/>
          <w:lang w:eastAsia="it-IT"/>
        </w:rPr>
      </w:pPr>
      <w:r>
        <w:rPr>
          <w:szCs w:val="24"/>
          <w:lang w:eastAsia="it-IT"/>
        </w:rPr>
        <w:t xml:space="preserve">4. </w:t>
      </w:r>
      <w:r w:rsidR="001910FE">
        <w:rPr>
          <w:szCs w:val="24"/>
          <w:lang w:eastAsia="it-IT"/>
        </w:rPr>
        <w:tab/>
      </w:r>
      <w:r w:rsidRPr="004E156B">
        <w:rPr>
          <w:szCs w:val="24"/>
          <w:lang w:eastAsia="it-IT"/>
        </w:rPr>
        <w:t xml:space="preserve">Le risorse di cui </w:t>
      </w:r>
      <w:r>
        <w:rPr>
          <w:szCs w:val="24"/>
          <w:lang w:eastAsia="it-IT"/>
        </w:rPr>
        <w:t xml:space="preserve">al comma 3 </w:t>
      </w:r>
      <w:r w:rsidRPr="004E156B">
        <w:rPr>
          <w:szCs w:val="24"/>
          <w:lang w:eastAsia="it-IT"/>
        </w:rPr>
        <w:t xml:space="preserve">sono ripartite con le medesime percentuali di cui al comma 1, </w:t>
      </w:r>
      <w:r>
        <w:rPr>
          <w:szCs w:val="24"/>
          <w:lang w:eastAsia="it-IT"/>
        </w:rPr>
        <w:t>come indicato nelle</w:t>
      </w:r>
      <w:r w:rsidRPr="004E156B">
        <w:rPr>
          <w:szCs w:val="24"/>
          <w:lang w:eastAsia="it-IT"/>
        </w:rPr>
        <w:t xml:space="preserve"> tabelle di seguito riportate. Gli importi di cui al presente comma saranno impegnati ed erogati in favore di ciascuna Regione a seguito dell’emanazione dei decreti di riparto del Fondo nazionale per gli anni 2023 e 2024.</w:t>
      </w:r>
    </w:p>
    <w:p w14:paraId="27CC0E6F" w14:textId="77777777" w:rsidR="00E6782C" w:rsidRDefault="00E6782C" w:rsidP="001910FE">
      <w:pPr>
        <w:spacing w:after="0" w:line="240" w:lineRule="auto"/>
        <w:ind w:left="567" w:hanging="567"/>
        <w:jc w:val="both"/>
        <w:rPr>
          <w:szCs w:val="24"/>
          <w:lang w:eastAsia="it-IT"/>
        </w:rPr>
      </w:pPr>
    </w:p>
    <w:p w14:paraId="7FDE254A" w14:textId="68FA262E" w:rsidR="004E156B" w:rsidRDefault="004E156B" w:rsidP="004E156B">
      <w:pPr>
        <w:spacing w:after="0" w:line="240" w:lineRule="auto"/>
        <w:jc w:val="center"/>
        <w:rPr>
          <w:szCs w:val="24"/>
          <w:lang w:eastAsia="it-IT"/>
        </w:rPr>
      </w:pPr>
      <w:r w:rsidRPr="004E156B">
        <w:rPr>
          <w:noProof/>
          <w:lang w:eastAsia="it-IT"/>
        </w:rPr>
        <w:lastRenderedPageBreak/>
        <w:drawing>
          <wp:inline distT="0" distB="0" distL="0" distR="0" wp14:anchorId="7CCC8530" wp14:editId="3544C7D3">
            <wp:extent cx="4774410" cy="4657725"/>
            <wp:effectExtent l="0" t="0" r="762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4270" cy="4677100"/>
                    </a:xfrm>
                    <a:prstGeom prst="rect">
                      <a:avLst/>
                    </a:prstGeom>
                    <a:noFill/>
                    <a:ln>
                      <a:noFill/>
                    </a:ln>
                  </pic:spPr>
                </pic:pic>
              </a:graphicData>
            </a:graphic>
          </wp:inline>
        </w:drawing>
      </w:r>
    </w:p>
    <w:p w14:paraId="049288EA" w14:textId="77777777" w:rsidR="004E156B" w:rsidRDefault="004E156B" w:rsidP="00E45D44">
      <w:pPr>
        <w:spacing w:after="0" w:line="240" w:lineRule="auto"/>
        <w:jc w:val="both"/>
        <w:rPr>
          <w:szCs w:val="24"/>
          <w:lang w:eastAsia="it-IT"/>
        </w:rPr>
      </w:pPr>
    </w:p>
    <w:p w14:paraId="308865FF" w14:textId="77777777" w:rsidR="004E156B" w:rsidRDefault="004E156B" w:rsidP="00E45D44">
      <w:pPr>
        <w:spacing w:after="0" w:line="240" w:lineRule="auto"/>
        <w:jc w:val="both"/>
        <w:rPr>
          <w:szCs w:val="24"/>
          <w:lang w:eastAsia="it-IT"/>
        </w:rPr>
      </w:pPr>
    </w:p>
    <w:p w14:paraId="40CFCAE9" w14:textId="77777777" w:rsidR="00E17E14" w:rsidRDefault="00E17E14" w:rsidP="00E9165E">
      <w:pPr>
        <w:spacing w:after="0" w:line="240" w:lineRule="auto"/>
        <w:ind w:left="567" w:hanging="567"/>
        <w:jc w:val="center"/>
        <w:rPr>
          <w:b/>
          <w:szCs w:val="24"/>
          <w:highlight w:val="yellow"/>
          <w:lang w:eastAsia="it-IT"/>
        </w:rPr>
      </w:pPr>
    </w:p>
    <w:p w14:paraId="7EA81D44" w14:textId="77777777" w:rsidR="00F02300" w:rsidRPr="00D20076" w:rsidRDefault="00F02300" w:rsidP="00F02300">
      <w:pPr>
        <w:spacing w:after="0" w:line="240" w:lineRule="auto"/>
        <w:ind w:left="567" w:right="567" w:hanging="567"/>
        <w:jc w:val="center"/>
        <w:rPr>
          <w:b/>
          <w:szCs w:val="24"/>
          <w:lang w:eastAsia="it-IT"/>
        </w:rPr>
      </w:pPr>
      <w:r w:rsidRPr="00D20076">
        <w:rPr>
          <w:b/>
          <w:szCs w:val="24"/>
          <w:lang w:eastAsia="it-IT"/>
        </w:rPr>
        <w:t xml:space="preserve">Art. </w:t>
      </w:r>
      <w:r>
        <w:rPr>
          <w:b/>
          <w:szCs w:val="24"/>
          <w:lang w:eastAsia="it-IT"/>
        </w:rPr>
        <w:t>2</w:t>
      </w:r>
    </w:p>
    <w:p w14:paraId="0AA4888F" w14:textId="77777777" w:rsidR="000C0B52" w:rsidRDefault="00F02300" w:rsidP="00F02300">
      <w:pPr>
        <w:spacing w:after="0" w:line="240" w:lineRule="auto"/>
        <w:ind w:left="567" w:right="567" w:hanging="567"/>
        <w:jc w:val="center"/>
        <w:rPr>
          <w:b/>
          <w:i/>
          <w:szCs w:val="24"/>
          <w:lang w:eastAsia="it-IT"/>
        </w:rPr>
      </w:pPr>
      <w:r w:rsidRPr="00D20076">
        <w:rPr>
          <w:b/>
          <w:i/>
          <w:szCs w:val="24"/>
          <w:lang w:eastAsia="it-IT"/>
        </w:rPr>
        <w:t>(</w:t>
      </w:r>
      <w:r>
        <w:rPr>
          <w:b/>
          <w:i/>
          <w:szCs w:val="24"/>
          <w:lang w:eastAsia="it-IT"/>
        </w:rPr>
        <w:t>Procedura di</w:t>
      </w:r>
      <w:r w:rsidR="007A60EB">
        <w:rPr>
          <w:b/>
          <w:i/>
          <w:szCs w:val="24"/>
          <w:lang w:eastAsia="it-IT"/>
        </w:rPr>
        <w:t xml:space="preserve"> </w:t>
      </w:r>
    </w:p>
    <w:p w14:paraId="1277A4A1" w14:textId="08B73B0E" w:rsidR="00E17E14" w:rsidRDefault="00D66F32" w:rsidP="00F02300">
      <w:pPr>
        <w:spacing w:after="0" w:line="240" w:lineRule="auto"/>
        <w:ind w:left="567" w:right="567" w:hanging="567"/>
        <w:jc w:val="center"/>
        <w:rPr>
          <w:b/>
          <w:i/>
          <w:szCs w:val="24"/>
          <w:lang w:eastAsia="it-IT"/>
        </w:rPr>
      </w:pPr>
      <w:r>
        <w:rPr>
          <w:b/>
          <w:i/>
          <w:szCs w:val="24"/>
          <w:lang w:eastAsia="it-IT"/>
        </w:rPr>
        <w:t xml:space="preserve">assegnazione e utilizzo </w:t>
      </w:r>
      <w:r w:rsidR="007A60EB">
        <w:rPr>
          <w:b/>
          <w:i/>
          <w:szCs w:val="24"/>
          <w:lang w:eastAsia="it-IT"/>
        </w:rPr>
        <w:t>dei contributi</w:t>
      </w:r>
      <w:r w:rsidR="00F02300">
        <w:rPr>
          <w:b/>
          <w:i/>
          <w:szCs w:val="24"/>
          <w:lang w:eastAsia="it-IT"/>
        </w:rPr>
        <w:t>)</w:t>
      </w:r>
    </w:p>
    <w:p w14:paraId="12F36FC2" w14:textId="77777777" w:rsidR="00F02300" w:rsidRDefault="00F02300" w:rsidP="00F02300">
      <w:pPr>
        <w:spacing w:after="0" w:line="240" w:lineRule="auto"/>
        <w:ind w:left="567" w:right="567" w:hanging="567"/>
        <w:jc w:val="both"/>
        <w:rPr>
          <w:szCs w:val="24"/>
          <w:lang w:eastAsia="it-IT"/>
        </w:rPr>
      </w:pPr>
    </w:p>
    <w:p w14:paraId="04FA3D22" w14:textId="47EBB149" w:rsidR="007E3786" w:rsidRPr="00F00D50" w:rsidRDefault="00CE65D1" w:rsidP="001910FE">
      <w:pPr>
        <w:spacing w:after="0" w:line="240" w:lineRule="auto"/>
        <w:ind w:left="567" w:hanging="567"/>
        <w:jc w:val="both"/>
        <w:rPr>
          <w:szCs w:val="24"/>
          <w:lang w:eastAsia="it-IT"/>
        </w:rPr>
      </w:pPr>
      <w:r>
        <w:rPr>
          <w:szCs w:val="24"/>
          <w:lang w:eastAsia="it-IT"/>
        </w:rPr>
        <w:t xml:space="preserve">1. </w:t>
      </w:r>
      <w:r w:rsidR="001910FE">
        <w:rPr>
          <w:szCs w:val="24"/>
          <w:lang w:eastAsia="it-IT"/>
        </w:rPr>
        <w:tab/>
      </w:r>
      <w:r w:rsidR="007E3786" w:rsidRPr="00F00D50">
        <w:rPr>
          <w:szCs w:val="24"/>
          <w:lang w:eastAsia="it-IT"/>
        </w:rPr>
        <w:t>Le Regioni provvedono ad individuare, previa istruttoria con gli enti competenti</w:t>
      </w:r>
      <w:r w:rsidR="0074711D" w:rsidRPr="00CE65D1">
        <w:rPr>
          <w:szCs w:val="24"/>
          <w:lang w:eastAsia="it-IT"/>
        </w:rPr>
        <w:t xml:space="preserve"> per </w:t>
      </w:r>
      <w:r w:rsidR="007E3786" w:rsidRPr="00CE65D1">
        <w:rPr>
          <w:szCs w:val="24"/>
          <w:lang w:eastAsia="it-IT"/>
        </w:rPr>
        <w:t xml:space="preserve">la programmazione dei servizi di </w:t>
      </w:r>
      <w:r>
        <w:rPr>
          <w:szCs w:val="24"/>
          <w:lang w:eastAsia="it-IT"/>
        </w:rPr>
        <w:t>t</w:t>
      </w:r>
      <w:r w:rsidRPr="00CE65D1">
        <w:rPr>
          <w:szCs w:val="24"/>
          <w:lang w:eastAsia="it-IT"/>
        </w:rPr>
        <w:t xml:space="preserve">rasporto </w:t>
      </w:r>
      <w:r w:rsidR="0074711D" w:rsidRPr="00CE65D1">
        <w:rPr>
          <w:szCs w:val="24"/>
          <w:lang w:eastAsia="it-IT"/>
        </w:rPr>
        <w:t>pubblico locale e regionale interessati</w:t>
      </w:r>
      <w:r w:rsidR="007E3786" w:rsidRPr="00F00D50">
        <w:rPr>
          <w:szCs w:val="24"/>
          <w:lang w:eastAsia="it-IT"/>
        </w:rPr>
        <w:t>, i progetti da ammettere a contributo avvalendosi delle risorse di cui all’articolo 1.</w:t>
      </w:r>
    </w:p>
    <w:p w14:paraId="7BF0E8BD" w14:textId="633ABCC4" w:rsidR="007E3786" w:rsidRDefault="00CE65D1" w:rsidP="001910FE">
      <w:pPr>
        <w:spacing w:after="0" w:line="240" w:lineRule="auto"/>
        <w:ind w:left="567" w:hanging="567"/>
        <w:jc w:val="both"/>
        <w:rPr>
          <w:szCs w:val="24"/>
          <w:lang w:eastAsia="it-IT"/>
        </w:rPr>
      </w:pPr>
      <w:r>
        <w:rPr>
          <w:szCs w:val="24"/>
          <w:lang w:eastAsia="it-IT"/>
        </w:rPr>
        <w:t xml:space="preserve">2. </w:t>
      </w:r>
      <w:r w:rsidR="00807003">
        <w:rPr>
          <w:szCs w:val="24"/>
          <w:lang w:eastAsia="it-IT"/>
        </w:rPr>
        <w:t xml:space="preserve"> </w:t>
      </w:r>
      <w:r w:rsidR="001910FE">
        <w:rPr>
          <w:szCs w:val="24"/>
          <w:lang w:eastAsia="it-IT"/>
        </w:rPr>
        <w:tab/>
      </w:r>
      <w:r w:rsidR="00807003">
        <w:rPr>
          <w:szCs w:val="24"/>
          <w:lang w:eastAsia="it-IT"/>
        </w:rPr>
        <w:t>Il</w:t>
      </w:r>
      <w:r w:rsidR="007E3786" w:rsidRPr="00F00D50">
        <w:rPr>
          <w:szCs w:val="24"/>
          <w:lang w:eastAsia="it-IT"/>
        </w:rPr>
        <w:t xml:space="preserve"> Ministero delle infrastrutture e </w:t>
      </w:r>
      <w:r w:rsidR="001910FE">
        <w:rPr>
          <w:szCs w:val="24"/>
          <w:lang w:eastAsia="it-IT"/>
        </w:rPr>
        <w:t>dei trasporti</w:t>
      </w:r>
      <w:r w:rsidR="007E3786" w:rsidRPr="00F00D50">
        <w:rPr>
          <w:szCs w:val="24"/>
          <w:lang w:eastAsia="it-IT"/>
        </w:rPr>
        <w:t xml:space="preserve"> </w:t>
      </w:r>
      <w:r w:rsidR="00807003">
        <w:rPr>
          <w:szCs w:val="24"/>
          <w:lang w:eastAsia="it-IT"/>
        </w:rPr>
        <w:t>e il</w:t>
      </w:r>
      <w:r w:rsidR="007E3786" w:rsidRPr="00F00D50">
        <w:rPr>
          <w:szCs w:val="24"/>
          <w:lang w:eastAsia="it-IT"/>
        </w:rPr>
        <w:t xml:space="preserve"> Ministero dell’economia e delle finanze, </w:t>
      </w:r>
      <w:r w:rsidR="007E3786" w:rsidRPr="00CE65D1">
        <w:rPr>
          <w:szCs w:val="24"/>
          <w:lang w:eastAsia="it-IT"/>
        </w:rPr>
        <w:t xml:space="preserve">entro 180 giorni </w:t>
      </w:r>
      <w:r w:rsidR="007E3786" w:rsidRPr="00F00D50">
        <w:rPr>
          <w:szCs w:val="24"/>
          <w:lang w:eastAsia="it-IT"/>
        </w:rPr>
        <w:t xml:space="preserve">dall’efficacia del presente provvedimento, </w:t>
      </w:r>
      <w:r w:rsidR="00807003">
        <w:rPr>
          <w:szCs w:val="24"/>
          <w:lang w:eastAsia="it-IT"/>
        </w:rPr>
        <w:t xml:space="preserve">ricevono dalle Regioni, ai fini del monitoraggio, </w:t>
      </w:r>
      <w:r w:rsidR="007E3786" w:rsidRPr="00F00D50">
        <w:rPr>
          <w:szCs w:val="24"/>
          <w:lang w:eastAsia="it-IT"/>
        </w:rPr>
        <w:t xml:space="preserve">l’elenco dei progetti ammessi a contributo </w:t>
      </w:r>
      <w:r w:rsidR="00807003">
        <w:rPr>
          <w:szCs w:val="24"/>
          <w:lang w:eastAsia="it-IT"/>
        </w:rPr>
        <w:t>in cui dev</w:t>
      </w:r>
      <w:r w:rsidR="001910FE">
        <w:rPr>
          <w:szCs w:val="24"/>
          <w:lang w:eastAsia="it-IT"/>
        </w:rPr>
        <w:t xml:space="preserve">ono </w:t>
      </w:r>
      <w:r w:rsidR="00807003">
        <w:rPr>
          <w:szCs w:val="24"/>
          <w:lang w:eastAsia="it-IT"/>
        </w:rPr>
        <w:t>essere specificat</w:t>
      </w:r>
      <w:r w:rsidR="001910FE">
        <w:rPr>
          <w:szCs w:val="24"/>
          <w:lang w:eastAsia="it-IT"/>
        </w:rPr>
        <w:t>i</w:t>
      </w:r>
      <w:r w:rsidR="00807003" w:rsidRPr="00F00D50">
        <w:rPr>
          <w:szCs w:val="24"/>
          <w:lang w:eastAsia="it-IT"/>
        </w:rPr>
        <w:t xml:space="preserve"> </w:t>
      </w:r>
      <w:r w:rsidR="007E3786" w:rsidRPr="00F00D50">
        <w:rPr>
          <w:szCs w:val="24"/>
          <w:lang w:eastAsia="it-IT"/>
        </w:rPr>
        <w:t>per ciascun progetto i soggett</w:t>
      </w:r>
      <w:r w:rsidR="00B45194" w:rsidRPr="00F00D50">
        <w:rPr>
          <w:szCs w:val="24"/>
          <w:lang w:eastAsia="it-IT"/>
        </w:rPr>
        <w:t>i</w:t>
      </w:r>
      <w:r w:rsidR="007E3786" w:rsidRPr="00F00D50">
        <w:rPr>
          <w:szCs w:val="24"/>
          <w:lang w:eastAsia="it-IT"/>
        </w:rPr>
        <w:t xml:space="preserve"> beneficiari, l’entità del contributo, la tipologia del servizio, la rispondenza del progetto ai criteri di cui al successivo articolo 3, </w:t>
      </w:r>
      <w:r w:rsidR="007E3786" w:rsidRPr="00CE65D1">
        <w:rPr>
          <w:szCs w:val="24"/>
          <w:lang w:eastAsia="it-IT"/>
        </w:rPr>
        <w:t>nonché il cronoprogramma della spesa sulle annualità di riferimento</w:t>
      </w:r>
      <w:r w:rsidR="0092704F" w:rsidRPr="00CE65D1">
        <w:rPr>
          <w:szCs w:val="24"/>
          <w:lang w:eastAsia="it-IT"/>
        </w:rPr>
        <w:t>.</w:t>
      </w:r>
    </w:p>
    <w:p w14:paraId="22F99D38" w14:textId="6582826D" w:rsidR="00843561" w:rsidRPr="00F00D50" w:rsidRDefault="00843561" w:rsidP="001910FE">
      <w:pPr>
        <w:spacing w:after="0" w:line="240" w:lineRule="auto"/>
        <w:ind w:left="567" w:hanging="567"/>
        <w:jc w:val="both"/>
        <w:rPr>
          <w:szCs w:val="24"/>
          <w:lang w:eastAsia="it-IT"/>
        </w:rPr>
      </w:pPr>
      <w:r>
        <w:rPr>
          <w:szCs w:val="24"/>
          <w:lang w:eastAsia="it-IT"/>
        </w:rPr>
        <w:t xml:space="preserve">3. </w:t>
      </w:r>
      <w:r w:rsidR="001910FE">
        <w:rPr>
          <w:szCs w:val="24"/>
          <w:lang w:eastAsia="it-IT"/>
        </w:rPr>
        <w:tab/>
      </w:r>
      <w:r>
        <w:rPr>
          <w:szCs w:val="24"/>
          <w:lang w:eastAsia="it-IT"/>
        </w:rPr>
        <w:t>Qualora il valore dei progetti sia inferiore al contributo assegnato, le Regioni sono tenute a versare</w:t>
      </w:r>
      <w:r w:rsidR="00241BC7">
        <w:rPr>
          <w:szCs w:val="24"/>
          <w:lang w:eastAsia="it-IT"/>
        </w:rPr>
        <w:t>, con le medesime modalità di cui al comma 6,</w:t>
      </w:r>
      <w:r>
        <w:rPr>
          <w:szCs w:val="24"/>
          <w:lang w:eastAsia="it-IT"/>
        </w:rPr>
        <w:t xml:space="preserve"> entro i successivi trenta giorni dalla data di comunicazione di cui al comma 2 le quote dei contributi non utilizzabili.</w:t>
      </w:r>
    </w:p>
    <w:p w14:paraId="5D9A6651" w14:textId="5AD27CEB" w:rsidR="008F5C87" w:rsidRDefault="00843561" w:rsidP="001910FE">
      <w:pPr>
        <w:spacing w:after="0" w:line="240" w:lineRule="auto"/>
        <w:ind w:left="567" w:hanging="567"/>
        <w:jc w:val="both"/>
        <w:rPr>
          <w:szCs w:val="24"/>
          <w:lang w:eastAsia="it-IT"/>
        </w:rPr>
      </w:pPr>
      <w:r>
        <w:rPr>
          <w:szCs w:val="24"/>
          <w:lang w:eastAsia="it-IT"/>
        </w:rPr>
        <w:t>4</w:t>
      </w:r>
      <w:r w:rsidR="008F5C87">
        <w:rPr>
          <w:szCs w:val="24"/>
          <w:lang w:eastAsia="it-IT"/>
        </w:rPr>
        <w:t xml:space="preserve">. </w:t>
      </w:r>
      <w:r w:rsidR="001910FE">
        <w:rPr>
          <w:szCs w:val="24"/>
          <w:lang w:eastAsia="it-IT"/>
        </w:rPr>
        <w:tab/>
      </w:r>
      <w:r w:rsidR="00F35531" w:rsidRPr="00CE65D1">
        <w:rPr>
          <w:szCs w:val="24"/>
          <w:lang w:eastAsia="it-IT"/>
        </w:rPr>
        <w:t xml:space="preserve">Le risorse </w:t>
      </w:r>
      <w:r w:rsidR="00F35531" w:rsidRPr="00F00D50">
        <w:rPr>
          <w:szCs w:val="24"/>
          <w:lang w:eastAsia="it-IT"/>
        </w:rPr>
        <w:t>eventualmente non utilizzate al 31 dicembre 2024 possono essere comunque destinate ai progetti ammessi a finanziamento sino al 30 giugno 2025</w:t>
      </w:r>
      <w:r w:rsidR="008F5C87">
        <w:rPr>
          <w:szCs w:val="24"/>
          <w:lang w:eastAsia="it-IT"/>
        </w:rPr>
        <w:t>.</w:t>
      </w:r>
    </w:p>
    <w:p w14:paraId="2FF916DA" w14:textId="63650A7A" w:rsidR="006153BE" w:rsidRPr="00F00D50" w:rsidRDefault="00843561" w:rsidP="001910FE">
      <w:pPr>
        <w:spacing w:after="0" w:line="240" w:lineRule="auto"/>
        <w:ind w:left="567" w:hanging="567"/>
        <w:jc w:val="both"/>
        <w:rPr>
          <w:szCs w:val="24"/>
          <w:lang w:eastAsia="it-IT"/>
        </w:rPr>
      </w:pPr>
      <w:r>
        <w:rPr>
          <w:szCs w:val="24"/>
          <w:lang w:eastAsia="it-IT"/>
        </w:rPr>
        <w:t>5</w:t>
      </w:r>
      <w:r w:rsidR="008F5C87">
        <w:rPr>
          <w:szCs w:val="24"/>
          <w:lang w:eastAsia="it-IT"/>
        </w:rPr>
        <w:t xml:space="preserve">. </w:t>
      </w:r>
      <w:r w:rsidR="001910FE">
        <w:rPr>
          <w:szCs w:val="24"/>
          <w:lang w:eastAsia="it-IT"/>
        </w:rPr>
        <w:tab/>
      </w:r>
      <w:r w:rsidR="007607D8" w:rsidRPr="00F00D50">
        <w:rPr>
          <w:szCs w:val="24"/>
          <w:lang w:eastAsia="it-IT"/>
        </w:rPr>
        <w:t>Entro il 3</w:t>
      </w:r>
      <w:r w:rsidR="00B308BE" w:rsidRPr="00F00D50">
        <w:rPr>
          <w:szCs w:val="24"/>
          <w:lang w:eastAsia="it-IT"/>
        </w:rPr>
        <w:t xml:space="preserve">1 </w:t>
      </w:r>
      <w:r w:rsidR="002F7FB2" w:rsidRPr="00F00D50">
        <w:rPr>
          <w:szCs w:val="24"/>
          <w:lang w:eastAsia="it-IT"/>
        </w:rPr>
        <w:t xml:space="preserve">marzo </w:t>
      </w:r>
      <w:r w:rsidR="007607D8" w:rsidRPr="00F00D50">
        <w:rPr>
          <w:szCs w:val="24"/>
          <w:lang w:eastAsia="it-IT"/>
        </w:rPr>
        <w:t>202</w:t>
      </w:r>
      <w:r w:rsidR="00B308BE" w:rsidRPr="00F00D50">
        <w:rPr>
          <w:szCs w:val="24"/>
          <w:lang w:eastAsia="it-IT"/>
        </w:rPr>
        <w:t>6</w:t>
      </w:r>
      <w:r w:rsidR="007607D8" w:rsidRPr="00F00D50">
        <w:rPr>
          <w:szCs w:val="24"/>
          <w:lang w:eastAsia="it-IT"/>
        </w:rPr>
        <w:t xml:space="preserve"> le Regioni trasmettono al Ministero delle infrastrutture e </w:t>
      </w:r>
      <w:r w:rsidR="001910FE">
        <w:rPr>
          <w:szCs w:val="24"/>
          <w:lang w:eastAsia="it-IT"/>
        </w:rPr>
        <w:t>dei trasporti</w:t>
      </w:r>
      <w:r w:rsidR="007607D8" w:rsidRPr="00F00D50">
        <w:rPr>
          <w:szCs w:val="24"/>
          <w:lang w:eastAsia="it-IT"/>
        </w:rPr>
        <w:t xml:space="preserve"> e</w:t>
      </w:r>
      <w:r w:rsidR="00B308BE" w:rsidRPr="00F00D50">
        <w:rPr>
          <w:szCs w:val="24"/>
          <w:lang w:eastAsia="it-IT"/>
        </w:rPr>
        <w:t xml:space="preserve">d </w:t>
      </w:r>
      <w:r w:rsidR="007607D8" w:rsidRPr="00F00D50">
        <w:rPr>
          <w:szCs w:val="24"/>
          <w:lang w:eastAsia="it-IT"/>
        </w:rPr>
        <w:t xml:space="preserve">al Ministero dell’economia e delle finanze </w:t>
      </w:r>
      <w:r w:rsidR="00B14AB9">
        <w:rPr>
          <w:szCs w:val="24"/>
          <w:lang w:eastAsia="it-IT"/>
        </w:rPr>
        <w:t xml:space="preserve">apposita </w:t>
      </w:r>
      <w:r w:rsidR="007607D8" w:rsidRPr="00F00D50">
        <w:rPr>
          <w:szCs w:val="24"/>
          <w:lang w:eastAsia="it-IT"/>
        </w:rPr>
        <w:t xml:space="preserve">rendicontazione delle </w:t>
      </w:r>
      <w:r w:rsidR="007607D8" w:rsidRPr="00F00D50">
        <w:rPr>
          <w:szCs w:val="24"/>
          <w:lang w:eastAsia="it-IT"/>
        </w:rPr>
        <w:lastRenderedPageBreak/>
        <w:t>risorse assegnate per i progetti di cui al comma 2</w:t>
      </w:r>
      <w:r w:rsidR="006D5E1C">
        <w:rPr>
          <w:szCs w:val="24"/>
          <w:lang w:eastAsia="it-IT"/>
        </w:rPr>
        <w:t>,</w:t>
      </w:r>
      <w:r w:rsidR="007607D8" w:rsidRPr="00F00D50">
        <w:rPr>
          <w:szCs w:val="24"/>
          <w:lang w:eastAsia="it-IT"/>
        </w:rPr>
        <w:t xml:space="preserve"> con l’indicazione degli importi</w:t>
      </w:r>
      <w:r w:rsidR="008F5C87">
        <w:rPr>
          <w:szCs w:val="24"/>
          <w:lang w:eastAsia="it-IT"/>
        </w:rPr>
        <w:t xml:space="preserve"> erogati per i singoli progetti.</w:t>
      </w:r>
    </w:p>
    <w:p w14:paraId="3A6086D1" w14:textId="497FD3C3" w:rsidR="00843561" w:rsidRPr="00CE65D1" w:rsidRDefault="00843561" w:rsidP="001910FE">
      <w:pPr>
        <w:spacing w:after="0" w:line="240" w:lineRule="auto"/>
        <w:ind w:left="567" w:hanging="567"/>
        <w:jc w:val="both"/>
        <w:rPr>
          <w:szCs w:val="24"/>
          <w:lang w:eastAsia="it-IT"/>
        </w:rPr>
      </w:pPr>
      <w:r>
        <w:rPr>
          <w:szCs w:val="24"/>
          <w:lang w:eastAsia="it-IT"/>
        </w:rPr>
        <w:t>6</w:t>
      </w:r>
      <w:r w:rsidR="008F5C87">
        <w:rPr>
          <w:szCs w:val="24"/>
          <w:lang w:eastAsia="it-IT"/>
        </w:rPr>
        <w:t xml:space="preserve">. </w:t>
      </w:r>
      <w:r w:rsidR="001910FE">
        <w:rPr>
          <w:szCs w:val="24"/>
          <w:lang w:eastAsia="it-IT"/>
        </w:rPr>
        <w:tab/>
      </w:r>
      <w:r w:rsidR="00655859" w:rsidRPr="00655859">
        <w:rPr>
          <w:szCs w:val="24"/>
          <w:lang w:eastAsia="it-IT"/>
        </w:rPr>
        <w:t>Le risorse non utilizzate entro il 30 giugno 2025</w:t>
      </w:r>
      <w:r w:rsidR="00D66F32">
        <w:rPr>
          <w:szCs w:val="24"/>
          <w:lang w:eastAsia="it-IT"/>
        </w:rPr>
        <w:t xml:space="preserve"> </w:t>
      </w:r>
      <w:r w:rsidR="00655859" w:rsidRPr="00655859">
        <w:rPr>
          <w:szCs w:val="24"/>
          <w:lang w:eastAsia="it-IT"/>
        </w:rPr>
        <w:t>dalle Regioni per i progetti di cui al comma 2</w:t>
      </w:r>
      <w:r w:rsidR="00A07569">
        <w:rPr>
          <w:szCs w:val="24"/>
          <w:lang w:eastAsia="it-IT"/>
        </w:rPr>
        <w:t xml:space="preserve">, individuate sulla base della rendicontazione di cui al comma </w:t>
      </w:r>
      <w:r w:rsidR="00A47578">
        <w:rPr>
          <w:szCs w:val="24"/>
          <w:lang w:eastAsia="it-IT"/>
        </w:rPr>
        <w:t>5</w:t>
      </w:r>
      <w:r w:rsidR="00A07569">
        <w:rPr>
          <w:szCs w:val="24"/>
          <w:lang w:eastAsia="it-IT"/>
        </w:rPr>
        <w:t>,</w:t>
      </w:r>
      <w:r w:rsidR="00655859" w:rsidRPr="00655859">
        <w:rPr>
          <w:szCs w:val="24"/>
          <w:lang w:eastAsia="it-IT"/>
        </w:rPr>
        <w:t xml:space="preserve"> sono</w:t>
      </w:r>
      <w:r w:rsidR="00A07569">
        <w:rPr>
          <w:szCs w:val="24"/>
          <w:lang w:eastAsia="it-IT"/>
        </w:rPr>
        <w:t xml:space="preserve"> </w:t>
      </w:r>
      <w:r w:rsidR="00655859" w:rsidRPr="00655859">
        <w:rPr>
          <w:szCs w:val="24"/>
          <w:lang w:eastAsia="it-IT"/>
        </w:rPr>
        <w:t>versate</w:t>
      </w:r>
      <w:r w:rsidR="00D66F32">
        <w:rPr>
          <w:szCs w:val="24"/>
          <w:lang w:eastAsia="it-IT"/>
        </w:rPr>
        <w:t xml:space="preserve"> </w:t>
      </w:r>
      <w:r w:rsidR="00A07569">
        <w:rPr>
          <w:szCs w:val="24"/>
          <w:lang w:eastAsia="it-IT"/>
        </w:rPr>
        <w:t xml:space="preserve">da ciascuna Regione </w:t>
      </w:r>
      <w:r w:rsidR="00D66F32">
        <w:rPr>
          <w:szCs w:val="24"/>
          <w:lang w:eastAsia="it-IT"/>
        </w:rPr>
        <w:t xml:space="preserve">all’entrata del </w:t>
      </w:r>
      <w:r w:rsidR="009B32F4">
        <w:rPr>
          <w:szCs w:val="24"/>
          <w:lang w:eastAsia="it-IT"/>
        </w:rPr>
        <w:t xml:space="preserve">Bilancio dello Stato, </w:t>
      </w:r>
      <w:r w:rsidR="00D66F32">
        <w:rPr>
          <w:szCs w:val="24"/>
          <w:lang w:eastAsia="it-IT"/>
        </w:rPr>
        <w:t>sul capitolo</w:t>
      </w:r>
      <w:r w:rsidR="00655859" w:rsidRPr="00655859">
        <w:rPr>
          <w:szCs w:val="24"/>
          <w:lang w:eastAsia="it-IT"/>
        </w:rPr>
        <w:t xml:space="preserve"> n.</w:t>
      </w:r>
      <w:r w:rsidR="00C7636D">
        <w:rPr>
          <w:szCs w:val="24"/>
          <w:lang w:eastAsia="it-IT"/>
        </w:rPr>
        <w:t xml:space="preserve"> 3570 </w:t>
      </w:r>
      <w:r w:rsidR="00655859" w:rsidRPr="00CE65D1">
        <w:rPr>
          <w:szCs w:val="24"/>
          <w:lang w:eastAsia="it-IT"/>
        </w:rPr>
        <w:t>denominato “Entrate eventuali e diverse concernenti il Ministero delle infrastrutture e dei trasporti”, Articolo 3 “Recuperi, restituzioni e rimborsi vari”, Capo XV.</w:t>
      </w:r>
      <w:r w:rsidR="00D66F32">
        <w:rPr>
          <w:szCs w:val="24"/>
          <w:lang w:eastAsia="it-IT"/>
        </w:rPr>
        <w:t xml:space="preserve"> Qualora le Regioni non versino gli importi dovuti entro il </w:t>
      </w:r>
      <w:r>
        <w:rPr>
          <w:szCs w:val="24"/>
          <w:lang w:eastAsia="it-IT"/>
        </w:rPr>
        <w:t>30 giugno</w:t>
      </w:r>
      <w:r w:rsidR="00D66F32">
        <w:rPr>
          <w:szCs w:val="24"/>
          <w:lang w:eastAsia="it-IT"/>
        </w:rPr>
        <w:t xml:space="preserve"> 2026, i medesimi importi sono recuperati nell’ambito del </w:t>
      </w:r>
      <w:r w:rsidR="00D66F32" w:rsidRPr="004E156B">
        <w:rPr>
          <w:szCs w:val="24"/>
          <w:lang w:eastAsia="it-IT"/>
        </w:rPr>
        <w:t>decret</w:t>
      </w:r>
      <w:r w:rsidR="00D66F32">
        <w:rPr>
          <w:szCs w:val="24"/>
          <w:lang w:eastAsia="it-IT"/>
        </w:rPr>
        <w:t>o</w:t>
      </w:r>
      <w:r w:rsidR="00D66F32" w:rsidRPr="004E156B">
        <w:rPr>
          <w:szCs w:val="24"/>
          <w:lang w:eastAsia="it-IT"/>
        </w:rPr>
        <w:t xml:space="preserve"> di riparto del Fondo nazionale per </w:t>
      </w:r>
      <w:r w:rsidR="00D66F32">
        <w:rPr>
          <w:szCs w:val="24"/>
          <w:lang w:eastAsia="it-IT"/>
        </w:rPr>
        <w:t>l’anno 2026.</w:t>
      </w:r>
    </w:p>
    <w:p w14:paraId="207CF9E7" w14:textId="0815F19D" w:rsidR="00D46821" w:rsidRPr="00655859" w:rsidRDefault="00D46821" w:rsidP="001910FE">
      <w:pPr>
        <w:spacing w:after="0" w:line="240" w:lineRule="auto"/>
        <w:ind w:left="567" w:hanging="567"/>
        <w:jc w:val="both"/>
        <w:rPr>
          <w:b/>
          <w:szCs w:val="24"/>
          <w:lang w:eastAsia="it-IT"/>
        </w:rPr>
      </w:pPr>
    </w:p>
    <w:p w14:paraId="33C45D5C" w14:textId="77777777" w:rsidR="00466473" w:rsidRDefault="00466473" w:rsidP="00E9165E">
      <w:pPr>
        <w:spacing w:after="0" w:line="240" w:lineRule="auto"/>
        <w:jc w:val="both"/>
        <w:rPr>
          <w:szCs w:val="24"/>
          <w:lang w:eastAsia="it-IT"/>
        </w:rPr>
      </w:pPr>
    </w:p>
    <w:p w14:paraId="0F3E6320" w14:textId="77777777" w:rsidR="00C65F71" w:rsidRPr="00D20076" w:rsidRDefault="00C65F71" w:rsidP="00E9165E">
      <w:pPr>
        <w:spacing w:after="0" w:line="240" w:lineRule="auto"/>
        <w:ind w:left="567" w:hanging="567"/>
        <w:jc w:val="center"/>
        <w:rPr>
          <w:b/>
          <w:szCs w:val="24"/>
          <w:lang w:eastAsia="it-IT"/>
        </w:rPr>
      </w:pPr>
      <w:r w:rsidRPr="00D20076">
        <w:rPr>
          <w:b/>
          <w:szCs w:val="24"/>
          <w:lang w:eastAsia="it-IT"/>
        </w:rPr>
        <w:t xml:space="preserve">Art. </w:t>
      </w:r>
      <w:r>
        <w:rPr>
          <w:b/>
          <w:szCs w:val="24"/>
          <w:lang w:eastAsia="it-IT"/>
        </w:rPr>
        <w:t>3</w:t>
      </w:r>
    </w:p>
    <w:p w14:paraId="676D7ECA" w14:textId="77777777" w:rsidR="00C65F71" w:rsidRDefault="00C65F71" w:rsidP="00E9165E">
      <w:pPr>
        <w:spacing w:after="0" w:line="240" w:lineRule="auto"/>
        <w:ind w:left="567" w:hanging="567"/>
        <w:jc w:val="center"/>
        <w:rPr>
          <w:b/>
          <w:i/>
          <w:szCs w:val="24"/>
          <w:lang w:eastAsia="it-IT"/>
        </w:rPr>
      </w:pPr>
      <w:r w:rsidRPr="00D20076">
        <w:rPr>
          <w:b/>
          <w:i/>
          <w:szCs w:val="24"/>
          <w:lang w:eastAsia="it-IT"/>
        </w:rPr>
        <w:t>(</w:t>
      </w:r>
      <w:r>
        <w:rPr>
          <w:b/>
          <w:i/>
          <w:szCs w:val="24"/>
          <w:lang w:eastAsia="it-IT"/>
        </w:rPr>
        <w:t>Criteri di individuazione dei progetti oggetto di contribuzione)</w:t>
      </w:r>
    </w:p>
    <w:p w14:paraId="6EA6061D" w14:textId="77777777" w:rsidR="003B6FED" w:rsidRDefault="003B6FED" w:rsidP="00E9165E">
      <w:pPr>
        <w:spacing w:after="0" w:line="240" w:lineRule="auto"/>
        <w:ind w:left="567" w:hanging="567"/>
        <w:jc w:val="both"/>
        <w:rPr>
          <w:b/>
          <w:i/>
          <w:szCs w:val="24"/>
          <w:lang w:eastAsia="it-IT"/>
        </w:rPr>
      </w:pPr>
    </w:p>
    <w:p w14:paraId="0EE29D1A" w14:textId="2C59C724" w:rsidR="00474217" w:rsidRDefault="007E3786" w:rsidP="001910FE">
      <w:pPr>
        <w:spacing w:after="0" w:line="240" w:lineRule="auto"/>
        <w:ind w:left="567" w:hanging="567"/>
        <w:jc w:val="both"/>
        <w:rPr>
          <w:szCs w:val="24"/>
          <w:lang w:eastAsia="it-IT"/>
        </w:rPr>
      </w:pPr>
      <w:r>
        <w:rPr>
          <w:szCs w:val="24"/>
          <w:lang w:eastAsia="it-IT"/>
        </w:rPr>
        <w:t>1</w:t>
      </w:r>
      <w:r w:rsidR="00604176">
        <w:rPr>
          <w:szCs w:val="24"/>
          <w:lang w:eastAsia="it-IT"/>
        </w:rPr>
        <w:t xml:space="preserve">. </w:t>
      </w:r>
      <w:r w:rsidR="001910FE">
        <w:rPr>
          <w:szCs w:val="24"/>
          <w:lang w:eastAsia="it-IT"/>
        </w:rPr>
        <w:tab/>
      </w:r>
      <w:r w:rsidR="00604176" w:rsidRPr="007E3786">
        <w:rPr>
          <w:szCs w:val="24"/>
          <w:lang w:eastAsia="it-IT"/>
        </w:rPr>
        <w:t xml:space="preserve">I progetti di cui </w:t>
      </w:r>
      <w:r w:rsidR="00604176" w:rsidRPr="0030443F">
        <w:rPr>
          <w:szCs w:val="24"/>
          <w:lang w:eastAsia="it-IT"/>
        </w:rPr>
        <w:t>al</w:t>
      </w:r>
      <w:r w:rsidR="00811620" w:rsidRPr="0030443F">
        <w:rPr>
          <w:szCs w:val="24"/>
          <w:lang w:eastAsia="it-IT"/>
        </w:rPr>
        <w:t>l’art.</w:t>
      </w:r>
      <w:r w:rsidRPr="0030443F">
        <w:rPr>
          <w:szCs w:val="24"/>
          <w:lang w:eastAsia="it-IT"/>
        </w:rPr>
        <w:t xml:space="preserve"> </w:t>
      </w:r>
      <w:r w:rsidR="00811620" w:rsidRPr="0030443F">
        <w:rPr>
          <w:szCs w:val="24"/>
          <w:lang w:eastAsia="it-IT"/>
        </w:rPr>
        <w:t>2,</w:t>
      </w:r>
      <w:r w:rsidR="00604176" w:rsidRPr="007E3786">
        <w:rPr>
          <w:szCs w:val="24"/>
          <w:lang w:eastAsia="it-IT"/>
        </w:rPr>
        <w:t xml:space="preserve"> comma 1, hanno ad oggetto</w:t>
      </w:r>
      <w:r w:rsidRPr="007E3786">
        <w:rPr>
          <w:szCs w:val="24"/>
          <w:lang w:eastAsia="it-IT"/>
        </w:rPr>
        <w:t xml:space="preserve"> </w:t>
      </w:r>
      <w:r>
        <w:rPr>
          <w:szCs w:val="24"/>
          <w:lang w:eastAsia="it-IT"/>
        </w:rPr>
        <w:t xml:space="preserve">esclusivamente </w:t>
      </w:r>
      <w:bookmarkStart w:id="0" w:name="_Hlk114836067"/>
      <w:r w:rsidRPr="007E3786">
        <w:rPr>
          <w:szCs w:val="24"/>
          <w:lang w:eastAsia="it-IT"/>
        </w:rPr>
        <w:t xml:space="preserve">servizi di </w:t>
      </w:r>
      <w:r w:rsidRPr="00C25DAD">
        <w:rPr>
          <w:i/>
          <w:iCs/>
          <w:szCs w:val="24"/>
          <w:lang w:eastAsia="it-IT"/>
        </w:rPr>
        <w:t xml:space="preserve">sharing </w:t>
      </w:r>
      <w:proofErr w:type="spellStart"/>
      <w:r w:rsidRPr="00C25DAD">
        <w:rPr>
          <w:i/>
          <w:iCs/>
          <w:szCs w:val="24"/>
          <w:lang w:eastAsia="it-IT"/>
        </w:rPr>
        <w:t>mobility</w:t>
      </w:r>
      <w:bookmarkEnd w:id="0"/>
      <w:proofErr w:type="spellEnd"/>
      <w:r w:rsidR="006E4D00">
        <w:rPr>
          <w:szCs w:val="24"/>
          <w:lang w:eastAsia="it-IT"/>
        </w:rPr>
        <w:t xml:space="preserve">, </w:t>
      </w:r>
      <w:r w:rsidR="0033252C">
        <w:rPr>
          <w:szCs w:val="24"/>
          <w:lang w:eastAsia="it-IT"/>
        </w:rPr>
        <w:t xml:space="preserve">prevalentemente </w:t>
      </w:r>
      <w:r w:rsidR="006E4D00" w:rsidRPr="00F00D50">
        <w:rPr>
          <w:szCs w:val="24"/>
          <w:lang w:eastAsia="it-IT"/>
        </w:rPr>
        <w:t>ad alimentazione elettrica</w:t>
      </w:r>
      <w:r w:rsidR="00B14AB9">
        <w:rPr>
          <w:szCs w:val="24"/>
          <w:lang w:eastAsia="it-IT"/>
        </w:rPr>
        <w:t xml:space="preserve"> o muscolare</w:t>
      </w:r>
      <w:r w:rsidR="006E4D00">
        <w:rPr>
          <w:szCs w:val="24"/>
          <w:lang w:eastAsia="it-IT"/>
        </w:rPr>
        <w:t>,</w:t>
      </w:r>
      <w:r w:rsidR="006E4D00" w:rsidRPr="00474217">
        <w:rPr>
          <w:szCs w:val="24"/>
          <w:lang w:eastAsia="it-IT"/>
        </w:rPr>
        <w:t xml:space="preserve"> </w:t>
      </w:r>
      <w:r w:rsidRPr="007E3786">
        <w:rPr>
          <w:szCs w:val="24"/>
          <w:lang w:eastAsia="it-IT"/>
        </w:rPr>
        <w:t>complementari ai servizi di trasporto pubblico locale e regionale</w:t>
      </w:r>
      <w:r w:rsidR="00C53050">
        <w:rPr>
          <w:szCs w:val="24"/>
          <w:lang w:eastAsia="it-IT"/>
        </w:rPr>
        <w:t xml:space="preserve"> </w:t>
      </w:r>
      <w:r w:rsidR="00474217">
        <w:rPr>
          <w:szCs w:val="24"/>
          <w:lang w:eastAsia="it-IT"/>
        </w:rPr>
        <w:t xml:space="preserve">ed in </w:t>
      </w:r>
      <w:r w:rsidR="00474217" w:rsidRPr="007E3786">
        <w:rPr>
          <w:szCs w:val="24"/>
          <w:lang w:eastAsia="it-IT"/>
        </w:rPr>
        <w:t>particolare</w:t>
      </w:r>
      <w:r w:rsidR="00B45194">
        <w:rPr>
          <w:szCs w:val="24"/>
          <w:lang w:eastAsia="it-IT"/>
        </w:rPr>
        <w:t xml:space="preserve"> </w:t>
      </w:r>
      <w:r w:rsidR="00474217" w:rsidRPr="0030443F">
        <w:rPr>
          <w:szCs w:val="24"/>
          <w:lang w:eastAsia="it-IT"/>
        </w:rPr>
        <w:t>l’</w:t>
      </w:r>
      <w:r w:rsidR="00474217" w:rsidRPr="007E3786">
        <w:rPr>
          <w:szCs w:val="24"/>
          <w:lang w:eastAsia="it-IT"/>
        </w:rPr>
        <w:t xml:space="preserve">attuazione e la promozione, </w:t>
      </w:r>
      <w:r w:rsidR="00474217" w:rsidRPr="0030443F">
        <w:rPr>
          <w:szCs w:val="24"/>
          <w:lang w:eastAsia="it-IT"/>
        </w:rPr>
        <w:t>la</w:t>
      </w:r>
      <w:r w:rsidR="00474217" w:rsidRPr="007E3786">
        <w:rPr>
          <w:szCs w:val="24"/>
          <w:lang w:eastAsia="it-IT"/>
        </w:rPr>
        <w:t xml:space="preserve"> messa a disposizione, </w:t>
      </w:r>
      <w:r w:rsidR="00474217" w:rsidRPr="0030443F">
        <w:rPr>
          <w:szCs w:val="24"/>
          <w:lang w:eastAsia="it-IT"/>
        </w:rPr>
        <w:t>il rafforzamento</w:t>
      </w:r>
      <w:r w:rsidR="00474217" w:rsidRPr="007E3786">
        <w:rPr>
          <w:szCs w:val="24"/>
          <w:lang w:eastAsia="it-IT"/>
        </w:rPr>
        <w:t xml:space="preserve"> e </w:t>
      </w:r>
      <w:r w:rsidR="00474217" w:rsidRPr="0030443F">
        <w:rPr>
          <w:szCs w:val="24"/>
          <w:lang w:eastAsia="it-IT"/>
        </w:rPr>
        <w:t xml:space="preserve">il </w:t>
      </w:r>
      <w:r w:rsidR="00474217" w:rsidRPr="007E3786">
        <w:rPr>
          <w:szCs w:val="24"/>
          <w:lang w:eastAsia="it-IT"/>
        </w:rPr>
        <w:t>potenziam</w:t>
      </w:r>
      <w:r w:rsidR="00474217">
        <w:rPr>
          <w:szCs w:val="24"/>
          <w:lang w:eastAsia="it-IT"/>
        </w:rPr>
        <w:t>ento di:</w:t>
      </w:r>
    </w:p>
    <w:p w14:paraId="26B19EC7" w14:textId="24E1C251" w:rsidR="00474217" w:rsidRPr="0030443F" w:rsidRDefault="00474217" w:rsidP="001910FE">
      <w:pPr>
        <w:pStyle w:val="Paragrafoelenco"/>
        <w:numPr>
          <w:ilvl w:val="0"/>
          <w:numId w:val="18"/>
        </w:numPr>
        <w:spacing w:after="0" w:line="240" w:lineRule="auto"/>
        <w:ind w:left="1134" w:hanging="567"/>
        <w:jc w:val="both"/>
        <w:rPr>
          <w:szCs w:val="24"/>
          <w:lang w:eastAsia="it-IT"/>
        </w:rPr>
      </w:pPr>
      <w:r w:rsidRPr="0030443F">
        <w:rPr>
          <w:szCs w:val="24"/>
          <w:lang w:eastAsia="it-IT"/>
        </w:rPr>
        <w:t xml:space="preserve">servizi di </w:t>
      </w:r>
      <w:proofErr w:type="spellStart"/>
      <w:r w:rsidRPr="000B7820">
        <w:rPr>
          <w:i/>
          <w:iCs/>
          <w:szCs w:val="24"/>
          <w:lang w:eastAsia="it-IT"/>
        </w:rPr>
        <w:t>vehicle</w:t>
      </w:r>
      <w:proofErr w:type="spellEnd"/>
      <w:r w:rsidRPr="000B7820">
        <w:rPr>
          <w:i/>
          <w:iCs/>
          <w:szCs w:val="24"/>
          <w:lang w:eastAsia="it-IT"/>
        </w:rPr>
        <w:t xml:space="preserve"> sharing</w:t>
      </w:r>
      <w:r w:rsidRPr="0030443F">
        <w:rPr>
          <w:szCs w:val="24"/>
          <w:lang w:eastAsia="it-IT"/>
        </w:rPr>
        <w:t>,</w:t>
      </w:r>
      <w:r w:rsidR="006777CF" w:rsidRPr="0030443F">
        <w:rPr>
          <w:szCs w:val="24"/>
          <w:lang w:eastAsia="it-IT"/>
        </w:rPr>
        <w:t xml:space="preserve"> </w:t>
      </w:r>
      <w:r w:rsidRPr="0030443F">
        <w:rPr>
          <w:szCs w:val="24"/>
          <w:lang w:eastAsia="it-IT"/>
        </w:rPr>
        <w:t xml:space="preserve">sia con modello operativo </w:t>
      </w:r>
      <w:r w:rsidRPr="000B7820">
        <w:rPr>
          <w:i/>
          <w:iCs/>
          <w:szCs w:val="24"/>
          <w:lang w:eastAsia="it-IT"/>
        </w:rPr>
        <w:t>station-</w:t>
      </w:r>
      <w:proofErr w:type="spellStart"/>
      <w:r w:rsidRPr="000B7820">
        <w:rPr>
          <w:i/>
          <w:iCs/>
          <w:szCs w:val="24"/>
          <w:lang w:eastAsia="it-IT"/>
        </w:rPr>
        <w:t>based</w:t>
      </w:r>
      <w:proofErr w:type="spellEnd"/>
      <w:r w:rsidRPr="0030443F">
        <w:rPr>
          <w:szCs w:val="24"/>
          <w:lang w:eastAsia="it-IT"/>
        </w:rPr>
        <w:t xml:space="preserve"> che </w:t>
      </w:r>
      <w:r w:rsidRPr="000B7820">
        <w:rPr>
          <w:i/>
          <w:iCs/>
          <w:szCs w:val="24"/>
          <w:lang w:eastAsia="it-IT"/>
        </w:rPr>
        <w:t>free-</w:t>
      </w:r>
      <w:proofErr w:type="spellStart"/>
      <w:r w:rsidRPr="000B7820">
        <w:rPr>
          <w:i/>
          <w:iCs/>
          <w:szCs w:val="24"/>
          <w:lang w:eastAsia="it-IT"/>
        </w:rPr>
        <w:t>floating</w:t>
      </w:r>
      <w:proofErr w:type="spellEnd"/>
      <w:r w:rsidRPr="0030443F">
        <w:rPr>
          <w:szCs w:val="24"/>
          <w:lang w:eastAsia="it-IT"/>
        </w:rPr>
        <w:t xml:space="preserve">, compresa l’estensione geografica e/o oraria dell’area di copertura di servizi di </w:t>
      </w:r>
      <w:proofErr w:type="spellStart"/>
      <w:r w:rsidRPr="000B7820">
        <w:rPr>
          <w:i/>
          <w:iCs/>
          <w:szCs w:val="24"/>
          <w:lang w:eastAsia="it-IT"/>
        </w:rPr>
        <w:t>vehicle</w:t>
      </w:r>
      <w:proofErr w:type="spellEnd"/>
      <w:r w:rsidRPr="000B7820">
        <w:rPr>
          <w:i/>
          <w:iCs/>
          <w:szCs w:val="24"/>
          <w:lang w:eastAsia="it-IT"/>
        </w:rPr>
        <w:t xml:space="preserve"> sharing</w:t>
      </w:r>
      <w:r w:rsidRPr="0030443F">
        <w:rPr>
          <w:szCs w:val="24"/>
          <w:lang w:eastAsia="it-IT"/>
        </w:rPr>
        <w:t xml:space="preserve"> già attivati;</w:t>
      </w:r>
    </w:p>
    <w:p w14:paraId="0724F1D7" w14:textId="77777777" w:rsidR="00474217" w:rsidRPr="0030443F" w:rsidRDefault="00474217" w:rsidP="001910FE">
      <w:pPr>
        <w:pStyle w:val="Paragrafoelenco"/>
        <w:numPr>
          <w:ilvl w:val="0"/>
          <w:numId w:val="18"/>
        </w:numPr>
        <w:spacing w:after="0" w:line="240" w:lineRule="auto"/>
        <w:ind w:left="1134" w:hanging="567"/>
        <w:jc w:val="both"/>
        <w:rPr>
          <w:szCs w:val="24"/>
          <w:lang w:eastAsia="it-IT"/>
        </w:rPr>
      </w:pPr>
      <w:r w:rsidRPr="0030443F">
        <w:rPr>
          <w:szCs w:val="24"/>
          <w:lang w:eastAsia="it-IT"/>
        </w:rPr>
        <w:t xml:space="preserve">servizi di </w:t>
      </w:r>
      <w:r w:rsidRPr="000B7820">
        <w:rPr>
          <w:i/>
          <w:iCs/>
          <w:szCs w:val="24"/>
          <w:lang w:eastAsia="it-IT"/>
        </w:rPr>
        <w:t>carpooling</w:t>
      </w:r>
      <w:r w:rsidRPr="0030443F">
        <w:rPr>
          <w:szCs w:val="24"/>
          <w:lang w:eastAsia="it-IT"/>
        </w:rPr>
        <w:t xml:space="preserve"> quale misura di </w:t>
      </w:r>
      <w:proofErr w:type="spellStart"/>
      <w:r w:rsidRPr="000B7820">
        <w:rPr>
          <w:i/>
          <w:iCs/>
          <w:szCs w:val="24"/>
          <w:lang w:eastAsia="it-IT"/>
        </w:rPr>
        <w:t>mobility</w:t>
      </w:r>
      <w:proofErr w:type="spellEnd"/>
      <w:r w:rsidRPr="000B7820">
        <w:rPr>
          <w:i/>
          <w:iCs/>
          <w:szCs w:val="24"/>
          <w:lang w:eastAsia="it-IT"/>
        </w:rPr>
        <w:t xml:space="preserve"> management</w:t>
      </w:r>
      <w:r w:rsidRPr="0030443F">
        <w:rPr>
          <w:szCs w:val="24"/>
          <w:lang w:eastAsia="it-IT"/>
        </w:rPr>
        <w:t xml:space="preserve"> aziendale o di ente;</w:t>
      </w:r>
    </w:p>
    <w:p w14:paraId="2F5E8BC4" w14:textId="77777777" w:rsidR="00474217" w:rsidRPr="0030443F" w:rsidRDefault="00474217" w:rsidP="001910FE">
      <w:pPr>
        <w:pStyle w:val="Paragrafoelenco"/>
        <w:numPr>
          <w:ilvl w:val="0"/>
          <w:numId w:val="18"/>
        </w:numPr>
        <w:spacing w:after="0" w:line="240" w:lineRule="auto"/>
        <w:ind w:left="1134" w:hanging="567"/>
        <w:jc w:val="both"/>
        <w:rPr>
          <w:szCs w:val="24"/>
          <w:lang w:eastAsia="it-IT"/>
        </w:rPr>
      </w:pPr>
      <w:r w:rsidRPr="0030443F">
        <w:rPr>
          <w:szCs w:val="24"/>
          <w:lang w:eastAsia="it-IT"/>
        </w:rPr>
        <w:t xml:space="preserve">servizi di </w:t>
      </w:r>
      <w:r w:rsidRPr="000B7820">
        <w:rPr>
          <w:i/>
          <w:iCs/>
          <w:szCs w:val="24"/>
          <w:lang w:eastAsia="it-IT"/>
        </w:rPr>
        <w:t>Demand Responsive Transit</w:t>
      </w:r>
      <w:r w:rsidRPr="0030443F">
        <w:rPr>
          <w:szCs w:val="24"/>
          <w:lang w:eastAsia="it-IT"/>
        </w:rPr>
        <w:t>;</w:t>
      </w:r>
    </w:p>
    <w:p w14:paraId="59249CB1" w14:textId="6D02CDAF" w:rsidR="00474217" w:rsidRPr="0030443F" w:rsidRDefault="00474217" w:rsidP="001910FE">
      <w:pPr>
        <w:pStyle w:val="Paragrafoelenco"/>
        <w:numPr>
          <w:ilvl w:val="0"/>
          <w:numId w:val="18"/>
        </w:numPr>
        <w:spacing w:after="0" w:line="240" w:lineRule="auto"/>
        <w:ind w:left="1134" w:hanging="567"/>
        <w:jc w:val="both"/>
        <w:rPr>
          <w:szCs w:val="24"/>
          <w:lang w:eastAsia="it-IT"/>
        </w:rPr>
      </w:pPr>
      <w:r w:rsidRPr="0030443F">
        <w:rPr>
          <w:szCs w:val="24"/>
          <w:lang w:eastAsia="it-IT"/>
        </w:rPr>
        <w:t xml:space="preserve">altri servizi complementari e incentivanti rispetto </w:t>
      </w:r>
      <w:r w:rsidR="002F7FB2" w:rsidRPr="0030443F">
        <w:rPr>
          <w:szCs w:val="24"/>
          <w:lang w:eastAsia="it-IT"/>
        </w:rPr>
        <w:t>a</w:t>
      </w:r>
      <w:r w:rsidRPr="0030443F">
        <w:rPr>
          <w:szCs w:val="24"/>
          <w:lang w:eastAsia="it-IT"/>
        </w:rPr>
        <w:t>i servizi di mobilità condivisa e innovativa.</w:t>
      </w:r>
    </w:p>
    <w:p w14:paraId="7067165E" w14:textId="4649FCDB" w:rsidR="00B45194" w:rsidRPr="00C53050" w:rsidRDefault="00B45194" w:rsidP="001910FE">
      <w:pPr>
        <w:spacing w:after="0" w:line="240" w:lineRule="auto"/>
        <w:ind w:left="567" w:hanging="567"/>
        <w:jc w:val="both"/>
        <w:rPr>
          <w:szCs w:val="24"/>
          <w:lang w:eastAsia="it-IT"/>
        </w:rPr>
      </w:pPr>
      <w:r>
        <w:rPr>
          <w:szCs w:val="24"/>
          <w:lang w:eastAsia="it-IT"/>
        </w:rPr>
        <w:t>2</w:t>
      </w:r>
      <w:r w:rsidRPr="0030443F">
        <w:rPr>
          <w:szCs w:val="24"/>
          <w:lang w:eastAsia="it-IT"/>
        </w:rPr>
        <w:t xml:space="preserve">. </w:t>
      </w:r>
      <w:r w:rsidR="001910FE">
        <w:rPr>
          <w:szCs w:val="24"/>
          <w:lang w:eastAsia="it-IT"/>
        </w:rPr>
        <w:tab/>
      </w:r>
      <w:r w:rsidRPr="00C53050">
        <w:rPr>
          <w:szCs w:val="24"/>
          <w:lang w:eastAsia="it-IT"/>
        </w:rPr>
        <w:t>I progetti di cui al comma 1</w:t>
      </w:r>
      <w:r w:rsidR="00B00E8D" w:rsidRPr="00C53050">
        <w:rPr>
          <w:szCs w:val="24"/>
          <w:lang w:eastAsia="it-IT"/>
        </w:rPr>
        <w:t xml:space="preserve"> </w:t>
      </w:r>
      <w:r w:rsidR="00702A29" w:rsidRPr="00C53050">
        <w:rPr>
          <w:szCs w:val="24"/>
          <w:lang w:eastAsia="it-IT"/>
        </w:rPr>
        <w:t>garantiscono</w:t>
      </w:r>
      <w:r w:rsidRPr="00C53050">
        <w:rPr>
          <w:szCs w:val="24"/>
          <w:lang w:eastAsia="it-IT"/>
        </w:rPr>
        <w:t xml:space="preserve"> </w:t>
      </w:r>
      <w:r w:rsidR="00702A29" w:rsidRPr="00C53050">
        <w:rPr>
          <w:szCs w:val="24"/>
          <w:lang w:eastAsia="it-IT"/>
        </w:rPr>
        <w:t>scontistiche o altre forme di agevolazione</w:t>
      </w:r>
      <w:r w:rsidRPr="00C53050">
        <w:rPr>
          <w:szCs w:val="24"/>
          <w:lang w:eastAsia="it-IT"/>
        </w:rPr>
        <w:t xml:space="preserve"> </w:t>
      </w:r>
      <w:r w:rsidR="00702A29" w:rsidRPr="00C53050">
        <w:rPr>
          <w:szCs w:val="24"/>
          <w:lang w:eastAsia="it-IT"/>
        </w:rPr>
        <w:t xml:space="preserve">dedicate </w:t>
      </w:r>
      <w:r w:rsidRPr="00C53050">
        <w:rPr>
          <w:szCs w:val="24"/>
          <w:lang w:eastAsia="it-IT"/>
        </w:rPr>
        <w:t>agli utenti dei servizi di</w:t>
      </w:r>
      <w:r w:rsidR="00B00E8D" w:rsidRPr="00C53050">
        <w:rPr>
          <w:szCs w:val="24"/>
          <w:lang w:eastAsia="it-IT"/>
        </w:rPr>
        <w:t xml:space="preserve"> trasporto pubblico locale </w:t>
      </w:r>
      <w:r w:rsidR="00702A29" w:rsidRPr="00C53050">
        <w:rPr>
          <w:szCs w:val="24"/>
          <w:lang w:eastAsia="it-IT"/>
        </w:rPr>
        <w:t xml:space="preserve">per l’acquisto di servizi di </w:t>
      </w:r>
      <w:proofErr w:type="spellStart"/>
      <w:r w:rsidR="00702A29" w:rsidRPr="000B7820">
        <w:rPr>
          <w:i/>
          <w:iCs/>
          <w:szCs w:val="24"/>
          <w:lang w:eastAsia="it-IT"/>
        </w:rPr>
        <w:t>mobility</w:t>
      </w:r>
      <w:proofErr w:type="spellEnd"/>
      <w:r w:rsidR="00702A29" w:rsidRPr="000B7820">
        <w:rPr>
          <w:i/>
          <w:iCs/>
          <w:szCs w:val="24"/>
          <w:lang w:eastAsia="it-IT"/>
        </w:rPr>
        <w:t xml:space="preserve"> sharing</w:t>
      </w:r>
      <w:r w:rsidR="00702A29" w:rsidRPr="00C53050">
        <w:rPr>
          <w:szCs w:val="24"/>
          <w:lang w:eastAsia="it-IT"/>
        </w:rPr>
        <w:t xml:space="preserve">, i cui oneri sono sovvenzionati </w:t>
      </w:r>
      <w:r w:rsidR="00B00E8D" w:rsidRPr="00C53050">
        <w:rPr>
          <w:szCs w:val="24"/>
          <w:lang w:eastAsia="it-IT"/>
        </w:rPr>
        <w:t xml:space="preserve">con le risorse del presente decreto sulla base di una convenzione tra il soggetto incaricato della gestione dei sevizi di trasporto pubblico locale </w:t>
      </w:r>
      <w:r w:rsidR="00702A29" w:rsidRPr="00C53050">
        <w:rPr>
          <w:szCs w:val="24"/>
          <w:lang w:eastAsia="it-IT"/>
        </w:rPr>
        <w:t xml:space="preserve">ai sensi del decreto </w:t>
      </w:r>
      <w:r w:rsidR="000B7820">
        <w:rPr>
          <w:szCs w:val="24"/>
          <w:lang w:eastAsia="it-IT"/>
        </w:rPr>
        <w:t>l</w:t>
      </w:r>
      <w:r w:rsidR="00702A29" w:rsidRPr="00C53050">
        <w:rPr>
          <w:szCs w:val="24"/>
          <w:lang w:eastAsia="it-IT"/>
        </w:rPr>
        <w:t xml:space="preserve">egislativo 19 novembre 1997, n. 422 </w:t>
      </w:r>
      <w:r w:rsidR="00B00E8D" w:rsidRPr="00C53050">
        <w:rPr>
          <w:szCs w:val="24"/>
          <w:lang w:eastAsia="it-IT"/>
        </w:rPr>
        <w:t>e</w:t>
      </w:r>
      <w:r w:rsidR="002F7FB2" w:rsidRPr="00C53050">
        <w:rPr>
          <w:szCs w:val="24"/>
          <w:lang w:eastAsia="it-IT"/>
        </w:rPr>
        <w:t>d</w:t>
      </w:r>
      <w:r w:rsidR="00B00E8D" w:rsidRPr="00C53050">
        <w:rPr>
          <w:szCs w:val="24"/>
          <w:lang w:eastAsia="it-IT"/>
        </w:rPr>
        <w:t xml:space="preserve"> uno o più fornitori di servizi di </w:t>
      </w:r>
      <w:r w:rsidR="00B00E8D" w:rsidRPr="000B7820">
        <w:rPr>
          <w:i/>
          <w:iCs/>
          <w:szCs w:val="24"/>
          <w:lang w:eastAsia="it-IT"/>
        </w:rPr>
        <w:t xml:space="preserve">sharing </w:t>
      </w:r>
      <w:proofErr w:type="spellStart"/>
      <w:r w:rsidR="00B00E8D" w:rsidRPr="000B7820">
        <w:rPr>
          <w:i/>
          <w:iCs/>
          <w:szCs w:val="24"/>
          <w:lang w:eastAsia="it-IT"/>
        </w:rPr>
        <w:t>mobility</w:t>
      </w:r>
      <w:proofErr w:type="spellEnd"/>
      <w:r w:rsidR="00B00E8D" w:rsidRPr="00C53050">
        <w:rPr>
          <w:szCs w:val="24"/>
          <w:lang w:eastAsia="it-IT"/>
        </w:rPr>
        <w:t xml:space="preserve"> selezionati con modalità aperte e non discriminatorie</w:t>
      </w:r>
      <w:r w:rsidRPr="00C53050">
        <w:rPr>
          <w:szCs w:val="24"/>
          <w:lang w:eastAsia="it-IT"/>
        </w:rPr>
        <w:t xml:space="preserve">.  </w:t>
      </w:r>
    </w:p>
    <w:p w14:paraId="5B31CFB0" w14:textId="27933F32" w:rsidR="002B21A5" w:rsidRPr="00F12DB9" w:rsidRDefault="00B00E8D" w:rsidP="001910FE">
      <w:pPr>
        <w:spacing w:after="0" w:line="240" w:lineRule="auto"/>
        <w:ind w:left="567" w:hanging="567"/>
        <w:jc w:val="both"/>
        <w:rPr>
          <w:szCs w:val="24"/>
          <w:lang w:eastAsia="it-IT"/>
        </w:rPr>
      </w:pPr>
      <w:r w:rsidRPr="00C53050">
        <w:rPr>
          <w:szCs w:val="24"/>
          <w:lang w:eastAsia="it-IT"/>
        </w:rPr>
        <w:t>3</w:t>
      </w:r>
      <w:r w:rsidR="00474217" w:rsidRPr="00C53050">
        <w:rPr>
          <w:szCs w:val="24"/>
          <w:lang w:eastAsia="it-IT"/>
        </w:rPr>
        <w:t xml:space="preserve">. </w:t>
      </w:r>
      <w:bookmarkStart w:id="1" w:name="_Hlk114836017"/>
      <w:r w:rsidR="001910FE">
        <w:rPr>
          <w:szCs w:val="24"/>
          <w:lang w:eastAsia="it-IT"/>
        </w:rPr>
        <w:tab/>
      </w:r>
      <w:r w:rsidR="00474217" w:rsidRPr="00C53050">
        <w:rPr>
          <w:szCs w:val="24"/>
          <w:lang w:eastAsia="it-IT"/>
        </w:rPr>
        <w:t>I progetti di cui al comma 1</w:t>
      </w:r>
      <w:r w:rsidR="00B45194" w:rsidRPr="00C53050">
        <w:rPr>
          <w:szCs w:val="24"/>
          <w:lang w:eastAsia="it-IT"/>
        </w:rPr>
        <w:t xml:space="preserve"> </w:t>
      </w:r>
      <w:bookmarkEnd w:id="1"/>
      <w:r w:rsidR="00B45194" w:rsidRPr="00C53050">
        <w:rPr>
          <w:szCs w:val="24"/>
          <w:lang w:eastAsia="it-IT"/>
        </w:rPr>
        <w:t>sono finanziati</w:t>
      </w:r>
      <w:r w:rsidR="00474217" w:rsidRPr="00C53050">
        <w:rPr>
          <w:szCs w:val="24"/>
          <w:lang w:eastAsia="it-IT"/>
        </w:rPr>
        <w:t xml:space="preserve"> </w:t>
      </w:r>
      <w:r w:rsidR="00B45194" w:rsidRPr="00C53050">
        <w:rPr>
          <w:szCs w:val="24"/>
          <w:lang w:eastAsia="it-IT"/>
        </w:rPr>
        <w:t>nell’ambito dei contratti di servizio di cui all’art. 19</w:t>
      </w:r>
      <w:r w:rsidR="002F7FB2" w:rsidRPr="00C53050">
        <w:rPr>
          <w:szCs w:val="24"/>
          <w:lang w:eastAsia="it-IT"/>
        </w:rPr>
        <w:t>,</w:t>
      </w:r>
      <w:r w:rsidR="00B45194" w:rsidRPr="00C53050">
        <w:rPr>
          <w:szCs w:val="24"/>
          <w:lang w:eastAsia="it-IT"/>
        </w:rPr>
        <w:t xml:space="preserve"> del </w:t>
      </w:r>
      <w:r w:rsidR="000B7820" w:rsidRPr="00C53050">
        <w:rPr>
          <w:szCs w:val="24"/>
          <w:lang w:eastAsia="it-IT"/>
        </w:rPr>
        <w:t xml:space="preserve">decreto </w:t>
      </w:r>
      <w:r w:rsidR="000B7820">
        <w:rPr>
          <w:szCs w:val="24"/>
          <w:lang w:eastAsia="it-IT"/>
        </w:rPr>
        <w:t>l</w:t>
      </w:r>
      <w:r w:rsidR="000B7820" w:rsidRPr="00C53050">
        <w:rPr>
          <w:szCs w:val="24"/>
          <w:lang w:eastAsia="it-IT"/>
        </w:rPr>
        <w:t xml:space="preserve">egislativo </w:t>
      </w:r>
      <w:r w:rsidR="00B45194" w:rsidRPr="00C53050">
        <w:rPr>
          <w:szCs w:val="24"/>
          <w:lang w:eastAsia="it-IT"/>
        </w:rPr>
        <w:t>n. 422</w:t>
      </w:r>
      <w:r w:rsidR="00702A29" w:rsidRPr="00C53050">
        <w:rPr>
          <w:szCs w:val="24"/>
          <w:lang w:eastAsia="it-IT"/>
        </w:rPr>
        <w:t>/1997</w:t>
      </w:r>
      <w:r w:rsidR="00B45194" w:rsidRPr="00C53050">
        <w:rPr>
          <w:szCs w:val="24"/>
          <w:lang w:eastAsia="it-IT"/>
        </w:rPr>
        <w:t xml:space="preserve">, </w:t>
      </w:r>
      <w:r w:rsidR="00474217" w:rsidRPr="00C53050">
        <w:rPr>
          <w:szCs w:val="24"/>
          <w:lang w:eastAsia="it-IT"/>
        </w:rPr>
        <w:t xml:space="preserve">hanno una durata triennale e comunque si concludono non oltre il </w:t>
      </w:r>
      <w:r w:rsidR="002F7FB2" w:rsidRPr="00C53050">
        <w:rPr>
          <w:szCs w:val="24"/>
          <w:lang w:eastAsia="it-IT"/>
        </w:rPr>
        <w:t>30 giugno</w:t>
      </w:r>
      <w:r w:rsidR="00B308BE" w:rsidRPr="00C53050">
        <w:rPr>
          <w:szCs w:val="24"/>
          <w:lang w:eastAsia="it-IT"/>
        </w:rPr>
        <w:t xml:space="preserve"> </w:t>
      </w:r>
      <w:r w:rsidR="00474217" w:rsidRPr="00C53050">
        <w:rPr>
          <w:szCs w:val="24"/>
          <w:lang w:eastAsia="it-IT"/>
        </w:rPr>
        <w:t>2025.</w:t>
      </w:r>
      <w:r w:rsidRPr="00C53050">
        <w:rPr>
          <w:szCs w:val="24"/>
          <w:lang w:eastAsia="it-IT"/>
        </w:rPr>
        <w:t xml:space="preserve"> L’atto di trasferimento dei fondi</w:t>
      </w:r>
      <w:r w:rsidR="00702A29" w:rsidRPr="00C53050">
        <w:rPr>
          <w:szCs w:val="24"/>
          <w:lang w:eastAsia="it-IT"/>
        </w:rPr>
        <w:t xml:space="preserve"> da parte delle Regioni</w:t>
      </w:r>
      <w:r w:rsidRPr="00C53050">
        <w:rPr>
          <w:szCs w:val="24"/>
          <w:lang w:eastAsia="it-IT"/>
        </w:rPr>
        <w:t xml:space="preserve"> esclude </w:t>
      </w:r>
      <w:r w:rsidR="00702A29" w:rsidRPr="00C53050">
        <w:rPr>
          <w:szCs w:val="24"/>
          <w:lang w:eastAsia="it-IT"/>
        </w:rPr>
        <w:t xml:space="preserve">qualsiasi ipotesi di </w:t>
      </w:r>
      <w:proofErr w:type="spellStart"/>
      <w:r w:rsidR="00702A29" w:rsidRPr="00C53050">
        <w:rPr>
          <w:szCs w:val="24"/>
          <w:lang w:eastAsia="it-IT"/>
        </w:rPr>
        <w:t>sovracompensazione</w:t>
      </w:r>
      <w:proofErr w:type="spellEnd"/>
      <w:r w:rsidR="00702A29" w:rsidRPr="00C53050">
        <w:rPr>
          <w:szCs w:val="24"/>
          <w:lang w:eastAsia="it-IT"/>
        </w:rPr>
        <w:t xml:space="preserve"> del contratto di servizio affidato ai soggetti incaricati della gestione dei servizi di trasporto pubblico locale e disciplina un apposito meccanismo di monitoraggio e restituzione delle eventuali somme eccedenti gli oneri di cui al comma 2. </w:t>
      </w:r>
      <w:r w:rsidR="002B21A5" w:rsidRPr="00F12DB9">
        <w:rPr>
          <w:szCs w:val="24"/>
          <w:lang w:eastAsia="it-IT"/>
        </w:rPr>
        <w:t xml:space="preserve">Per alcune misure che possono riguardare anche settori di mercato come, </w:t>
      </w:r>
      <w:r w:rsidR="002B21A5" w:rsidRPr="00C14C06">
        <w:rPr>
          <w:szCs w:val="24"/>
          <w:lang w:eastAsia="it-IT"/>
        </w:rPr>
        <w:t xml:space="preserve">a titolo esemplificativo, il supporto ad azioni di </w:t>
      </w:r>
      <w:proofErr w:type="spellStart"/>
      <w:r w:rsidR="002B21A5" w:rsidRPr="00C14C06">
        <w:rPr>
          <w:i/>
          <w:iCs/>
          <w:szCs w:val="24"/>
          <w:lang w:eastAsia="it-IT"/>
        </w:rPr>
        <w:t>vehicle</w:t>
      </w:r>
      <w:proofErr w:type="spellEnd"/>
      <w:r w:rsidR="002B21A5" w:rsidRPr="00C14C06">
        <w:rPr>
          <w:i/>
          <w:iCs/>
          <w:szCs w:val="24"/>
          <w:lang w:eastAsia="it-IT"/>
        </w:rPr>
        <w:t>-sharing</w:t>
      </w:r>
      <w:r w:rsidR="002B21A5" w:rsidRPr="00F12DB9">
        <w:rPr>
          <w:szCs w:val="24"/>
          <w:lang w:eastAsia="it-IT"/>
        </w:rPr>
        <w:t xml:space="preserve">, le Amministrazioni regionali dovranno imporre la separazione contabile di tale attività dall’attività prevalente di trasporto pubblico locale nonché attivare tutti gli strumenti possibili per: </w:t>
      </w:r>
    </w:p>
    <w:p w14:paraId="20F96A62" w14:textId="071D6E34" w:rsidR="002B21A5" w:rsidRPr="00F12DB9" w:rsidRDefault="002B21A5" w:rsidP="001910FE">
      <w:pPr>
        <w:pStyle w:val="Paragrafoelenco"/>
        <w:numPr>
          <w:ilvl w:val="0"/>
          <w:numId w:val="23"/>
        </w:numPr>
        <w:spacing w:after="0" w:line="240" w:lineRule="auto"/>
        <w:ind w:left="1134" w:hanging="567"/>
        <w:jc w:val="both"/>
        <w:rPr>
          <w:szCs w:val="24"/>
          <w:lang w:eastAsia="it-IT"/>
        </w:rPr>
      </w:pPr>
      <w:r w:rsidRPr="00F12DB9">
        <w:rPr>
          <w:szCs w:val="24"/>
          <w:lang w:eastAsia="it-IT"/>
        </w:rPr>
        <w:t xml:space="preserve">assicurare un servizio complementare alla persona fisica che utilizza di norma il servizio di trasporto pubblico locale, anche tramite apposita scontistica per servizi di </w:t>
      </w:r>
      <w:proofErr w:type="spellStart"/>
      <w:r w:rsidRPr="000B7820">
        <w:rPr>
          <w:i/>
          <w:iCs/>
          <w:szCs w:val="24"/>
          <w:lang w:eastAsia="it-IT"/>
        </w:rPr>
        <w:t>vehicle</w:t>
      </w:r>
      <w:proofErr w:type="spellEnd"/>
      <w:r w:rsidRPr="000B7820">
        <w:rPr>
          <w:i/>
          <w:iCs/>
          <w:szCs w:val="24"/>
          <w:lang w:eastAsia="it-IT"/>
        </w:rPr>
        <w:t>-sharing</w:t>
      </w:r>
      <w:r w:rsidRPr="00F12DB9">
        <w:rPr>
          <w:szCs w:val="24"/>
          <w:lang w:eastAsia="it-IT"/>
        </w:rPr>
        <w:t>;</w:t>
      </w:r>
    </w:p>
    <w:p w14:paraId="1B72E41B" w14:textId="7C046696" w:rsidR="002B21A5" w:rsidRPr="00F12DB9" w:rsidRDefault="002B21A5" w:rsidP="001910FE">
      <w:pPr>
        <w:pStyle w:val="Paragrafoelenco"/>
        <w:numPr>
          <w:ilvl w:val="0"/>
          <w:numId w:val="23"/>
        </w:numPr>
        <w:spacing w:after="0" w:line="240" w:lineRule="auto"/>
        <w:ind w:left="1134" w:hanging="567"/>
        <w:jc w:val="both"/>
        <w:rPr>
          <w:szCs w:val="24"/>
          <w:lang w:eastAsia="it-IT"/>
        </w:rPr>
      </w:pPr>
      <w:r w:rsidRPr="00F12DB9">
        <w:rPr>
          <w:szCs w:val="24"/>
          <w:lang w:eastAsia="it-IT"/>
        </w:rPr>
        <w:t>compensare le imprese di trasporto pubblico locale e/o eventuali operatori di mercato puntualmente convenzionati in modo trasparente o individuati tramite gare pubblica in cui sia</w:t>
      </w:r>
      <w:r w:rsidR="006E37EC" w:rsidRPr="00F12DB9">
        <w:rPr>
          <w:szCs w:val="24"/>
          <w:lang w:eastAsia="it-IT"/>
        </w:rPr>
        <w:t xml:space="preserve">no </w:t>
      </w:r>
      <w:r w:rsidRPr="00F12DB9">
        <w:rPr>
          <w:szCs w:val="24"/>
          <w:lang w:eastAsia="it-IT"/>
        </w:rPr>
        <w:t>individuat</w:t>
      </w:r>
      <w:r w:rsidR="006E37EC" w:rsidRPr="00F12DB9">
        <w:rPr>
          <w:szCs w:val="24"/>
          <w:lang w:eastAsia="it-IT"/>
        </w:rPr>
        <w:t>i</w:t>
      </w:r>
      <w:r w:rsidRPr="00F12DB9">
        <w:rPr>
          <w:szCs w:val="24"/>
          <w:lang w:eastAsia="it-IT"/>
        </w:rPr>
        <w:t xml:space="preserve"> finalità, obiettivi e incarico della misura, secondo la gestione programmata da parte delle Amministrazion</w:t>
      </w:r>
      <w:r w:rsidR="006E37EC" w:rsidRPr="00F12DB9">
        <w:rPr>
          <w:szCs w:val="24"/>
          <w:lang w:eastAsia="it-IT"/>
        </w:rPr>
        <w:t>i</w:t>
      </w:r>
      <w:r w:rsidRPr="00F12DB9">
        <w:rPr>
          <w:szCs w:val="24"/>
          <w:lang w:eastAsia="it-IT"/>
        </w:rPr>
        <w:t xml:space="preserve"> regional</w:t>
      </w:r>
      <w:r w:rsidR="006E37EC" w:rsidRPr="00F12DB9">
        <w:rPr>
          <w:szCs w:val="24"/>
          <w:lang w:eastAsia="it-IT"/>
        </w:rPr>
        <w:t>i</w:t>
      </w:r>
      <w:r w:rsidRPr="00F12DB9">
        <w:rPr>
          <w:szCs w:val="24"/>
          <w:lang w:eastAsia="it-IT"/>
        </w:rPr>
        <w:t xml:space="preserve">, per la sola diminuzione di entrate per i servizi di </w:t>
      </w:r>
      <w:proofErr w:type="spellStart"/>
      <w:r w:rsidRPr="000B7820">
        <w:rPr>
          <w:i/>
          <w:iCs/>
          <w:szCs w:val="24"/>
          <w:lang w:eastAsia="it-IT"/>
        </w:rPr>
        <w:t>vehicle</w:t>
      </w:r>
      <w:proofErr w:type="spellEnd"/>
      <w:r w:rsidRPr="000B7820">
        <w:rPr>
          <w:i/>
          <w:iCs/>
          <w:szCs w:val="24"/>
          <w:lang w:eastAsia="it-IT"/>
        </w:rPr>
        <w:t>-sharing</w:t>
      </w:r>
      <w:r w:rsidRPr="00F12DB9">
        <w:rPr>
          <w:szCs w:val="24"/>
          <w:lang w:eastAsia="it-IT"/>
        </w:rPr>
        <w:t xml:space="preserve"> </w:t>
      </w:r>
      <w:r w:rsidR="006E37EC" w:rsidRPr="00F12DB9">
        <w:rPr>
          <w:szCs w:val="24"/>
          <w:lang w:eastAsia="it-IT"/>
        </w:rPr>
        <w:t>riconducibile</w:t>
      </w:r>
      <w:r w:rsidRPr="00F12DB9">
        <w:rPr>
          <w:szCs w:val="24"/>
          <w:lang w:eastAsia="it-IT"/>
        </w:rPr>
        <w:t xml:space="preserve"> alle forme di </w:t>
      </w:r>
      <w:r w:rsidRPr="00F12DB9">
        <w:rPr>
          <w:szCs w:val="24"/>
          <w:lang w:eastAsia="it-IT"/>
        </w:rPr>
        <w:lastRenderedPageBreak/>
        <w:t xml:space="preserve">incentivi alla persona </w:t>
      </w:r>
      <w:r w:rsidRPr="00C14C06">
        <w:rPr>
          <w:szCs w:val="24"/>
          <w:lang w:eastAsia="it-IT"/>
        </w:rPr>
        <w:t xml:space="preserve">fisica; tale questione può </w:t>
      </w:r>
      <w:r w:rsidRPr="00F12DB9">
        <w:rPr>
          <w:szCs w:val="24"/>
          <w:lang w:eastAsia="it-IT"/>
        </w:rPr>
        <w:t xml:space="preserve">essere garantita anche con specifici strumenti di recupero dei fondi ove si verifichi successivamente la </w:t>
      </w:r>
      <w:proofErr w:type="spellStart"/>
      <w:r w:rsidRPr="00F12DB9">
        <w:rPr>
          <w:szCs w:val="24"/>
          <w:lang w:eastAsia="it-IT"/>
        </w:rPr>
        <w:t>sovracompensazione</w:t>
      </w:r>
      <w:proofErr w:type="spellEnd"/>
      <w:r w:rsidRPr="00F12DB9">
        <w:rPr>
          <w:szCs w:val="24"/>
          <w:lang w:eastAsia="it-IT"/>
        </w:rPr>
        <w:t>;</w:t>
      </w:r>
    </w:p>
    <w:p w14:paraId="21A5A39F" w14:textId="1E0ABBFD" w:rsidR="002B21A5" w:rsidRPr="00F12DB9" w:rsidRDefault="002B21A5" w:rsidP="001910FE">
      <w:pPr>
        <w:pStyle w:val="Paragrafoelenco"/>
        <w:numPr>
          <w:ilvl w:val="0"/>
          <w:numId w:val="23"/>
        </w:numPr>
        <w:spacing w:after="0" w:line="240" w:lineRule="auto"/>
        <w:ind w:left="1134" w:hanging="567"/>
        <w:jc w:val="both"/>
        <w:rPr>
          <w:szCs w:val="24"/>
          <w:lang w:eastAsia="it-IT"/>
        </w:rPr>
      </w:pPr>
      <w:r w:rsidRPr="00F12DB9">
        <w:rPr>
          <w:szCs w:val="24"/>
          <w:lang w:eastAsia="it-IT"/>
        </w:rPr>
        <w:t xml:space="preserve">garantire, per il tramite delle imprese di trasporto pubblico locale, l’inclusività massima di ogni operatore interessato a fornire servizi di </w:t>
      </w:r>
      <w:proofErr w:type="spellStart"/>
      <w:r w:rsidRPr="009E76BC">
        <w:rPr>
          <w:i/>
          <w:iCs/>
          <w:szCs w:val="24"/>
          <w:lang w:eastAsia="it-IT"/>
        </w:rPr>
        <w:t>vehicle</w:t>
      </w:r>
      <w:proofErr w:type="spellEnd"/>
      <w:r w:rsidRPr="009E76BC">
        <w:rPr>
          <w:i/>
          <w:iCs/>
          <w:szCs w:val="24"/>
          <w:lang w:eastAsia="it-IT"/>
        </w:rPr>
        <w:t>-sharing</w:t>
      </w:r>
      <w:r w:rsidRPr="00F12DB9">
        <w:rPr>
          <w:szCs w:val="24"/>
          <w:lang w:eastAsia="it-IT"/>
        </w:rPr>
        <w:t>.</w:t>
      </w:r>
    </w:p>
    <w:p w14:paraId="4685D559" w14:textId="643A7A85" w:rsidR="00A542D7" w:rsidRPr="00F12DB9" w:rsidRDefault="006E37EC" w:rsidP="001910FE">
      <w:pPr>
        <w:spacing w:after="0" w:line="240" w:lineRule="auto"/>
        <w:ind w:left="567" w:hanging="567"/>
        <w:jc w:val="both"/>
        <w:rPr>
          <w:szCs w:val="24"/>
          <w:lang w:eastAsia="it-IT"/>
        </w:rPr>
      </w:pPr>
      <w:r w:rsidRPr="00F12DB9">
        <w:rPr>
          <w:szCs w:val="24"/>
          <w:lang w:eastAsia="it-IT"/>
        </w:rPr>
        <w:t xml:space="preserve">4. </w:t>
      </w:r>
      <w:r w:rsidR="001910FE">
        <w:rPr>
          <w:szCs w:val="24"/>
          <w:lang w:eastAsia="it-IT"/>
        </w:rPr>
        <w:tab/>
      </w:r>
      <w:r w:rsidR="002B21A5" w:rsidRPr="00F12DB9">
        <w:rPr>
          <w:szCs w:val="24"/>
          <w:lang w:eastAsia="it-IT"/>
        </w:rPr>
        <w:t>Il Ministero assicura forme di raccordo alle Amministrazioni regionali per uniformare le iniziative e garantire la conformità con le disposizioni in tema di aiuti di Stato e libera concorrenza, anche tramite apposito supporto interpretativo.</w:t>
      </w:r>
      <w:r w:rsidR="00702A29" w:rsidRPr="00F12DB9">
        <w:rPr>
          <w:szCs w:val="24"/>
          <w:lang w:eastAsia="it-IT"/>
        </w:rPr>
        <w:t xml:space="preserve"> </w:t>
      </w:r>
      <w:r w:rsidR="00474217" w:rsidRPr="00F12DB9">
        <w:rPr>
          <w:szCs w:val="24"/>
          <w:lang w:eastAsia="it-IT"/>
        </w:rPr>
        <w:t xml:space="preserve"> </w:t>
      </w:r>
    </w:p>
    <w:p w14:paraId="631BFE26" w14:textId="327B283E" w:rsidR="007E3786" w:rsidRPr="0030443F" w:rsidRDefault="006E37EC" w:rsidP="001910FE">
      <w:pPr>
        <w:spacing w:after="0" w:line="240" w:lineRule="auto"/>
        <w:ind w:left="567" w:hanging="567"/>
        <w:jc w:val="both"/>
        <w:rPr>
          <w:szCs w:val="24"/>
          <w:lang w:eastAsia="it-IT"/>
        </w:rPr>
      </w:pPr>
      <w:r>
        <w:rPr>
          <w:szCs w:val="24"/>
          <w:lang w:eastAsia="it-IT"/>
        </w:rPr>
        <w:t>5</w:t>
      </w:r>
      <w:r w:rsidR="007E3786" w:rsidRPr="0030443F">
        <w:rPr>
          <w:szCs w:val="24"/>
          <w:lang w:eastAsia="it-IT"/>
        </w:rPr>
        <w:t xml:space="preserve">. </w:t>
      </w:r>
      <w:r w:rsidR="001910FE">
        <w:rPr>
          <w:szCs w:val="24"/>
          <w:lang w:eastAsia="it-IT"/>
        </w:rPr>
        <w:tab/>
      </w:r>
      <w:r w:rsidR="007E3786" w:rsidRPr="0030443F">
        <w:rPr>
          <w:szCs w:val="24"/>
          <w:lang w:eastAsia="it-IT"/>
        </w:rPr>
        <w:t xml:space="preserve">Le </w:t>
      </w:r>
      <w:r w:rsidR="00F100F9" w:rsidRPr="0030443F">
        <w:rPr>
          <w:szCs w:val="24"/>
          <w:lang w:eastAsia="it-IT"/>
        </w:rPr>
        <w:t xml:space="preserve">definizioni </w:t>
      </w:r>
      <w:r w:rsidR="007E3786" w:rsidRPr="0030443F">
        <w:rPr>
          <w:szCs w:val="24"/>
          <w:lang w:eastAsia="it-IT"/>
        </w:rPr>
        <w:t xml:space="preserve">riportate nell’allegato </w:t>
      </w:r>
      <w:r w:rsidR="002F7FB2" w:rsidRPr="0030443F">
        <w:rPr>
          <w:szCs w:val="24"/>
          <w:lang w:eastAsia="it-IT"/>
        </w:rPr>
        <w:t>A</w:t>
      </w:r>
      <w:r w:rsidR="007E3786" w:rsidRPr="0030443F">
        <w:rPr>
          <w:szCs w:val="24"/>
          <w:lang w:eastAsia="it-IT"/>
        </w:rPr>
        <w:t xml:space="preserve"> sono utilizzate per le attività istruttorie conseguenti </w:t>
      </w:r>
      <w:r w:rsidR="00F100F9" w:rsidRPr="0030443F">
        <w:rPr>
          <w:szCs w:val="24"/>
          <w:lang w:eastAsia="it-IT"/>
        </w:rPr>
        <w:t>all’emanazione del presente decreto al fine di utilizzare terminologie uniformi sull’intero territorio nazionale.</w:t>
      </w:r>
    </w:p>
    <w:p w14:paraId="3AE4A891" w14:textId="6EF2FC52" w:rsidR="00AA55D5" w:rsidRDefault="00AA55D5" w:rsidP="00F100F9">
      <w:pPr>
        <w:spacing w:after="0" w:line="240" w:lineRule="auto"/>
        <w:ind w:firstLine="567"/>
        <w:jc w:val="both"/>
        <w:rPr>
          <w:szCs w:val="24"/>
          <w:lang w:eastAsia="it-IT"/>
        </w:rPr>
      </w:pPr>
    </w:p>
    <w:p w14:paraId="7AC6D17E" w14:textId="385FCAC8" w:rsidR="001910FE" w:rsidRDefault="001910FE" w:rsidP="00F100F9">
      <w:pPr>
        <w:spacing w:after="0" w:line="240" w:lineRule="auto"/>
        <w:ind w:firstLine="567"/>
        <w:jc w:val="both"/>
        <w:rPr>
          <w:szCs w:val="24"/>
          <w:lang w:eastAsia="it-IT"/>
        </w:rPr>
      </w:pPr>
    </w:p>
    <w:p w14:paraId="4DF325CF" w14:textId="03FE5729" w:rsidR="001910FE" w:rsidRDefault="001910FE" w:rsidP="00F100F9">
      <w:pPr>
        <w:spacing w:after="0" w:line="240" w:lineRule="auto"/>
        <w:ind w:firstLine="567"/>
        <w:jc w:val="both"/>
        <w:rPr>
          <w:szCs w:val="2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910FE" w14:paraId="624E6C4F" w14:textId="77777777" w:rsidTr="001910FE">
        <w:tc>
          <w:tcPr>
            <w:tcW w:w="4677" w:type="dxa"/>
          </w:tcPr>
          <w:p w14:paraId="69121E92" w14:textId="35072A6A" w:rsidR="001910FE" w:rsidRDefault="001910FE" w:rsidP="001910FE">
            <w:pPr>
              <w:spacing w:after="0" w:line="240" w:lineRule="auto"/>
              <w:jc w:val="center"/>
              <w:rPr>
                <w:szCs w:val="24"/>
                <w:lang w:eastAsia="it-IT"/>
              </w:rPr>
            </w:pPr>
            <w:r w:rsidRPr="001910FE">
              <w:rPr>
                <w:szCs w:val="24"/>
                <w:lang w:eastAsia="it-IT"/>
              </w:rPr>
              <w:t xml:space="preserve">IL MINISTRO DELLE INFRASTRUTTURE E </w:t>
            </w:r>
            <w:r>
              <w:rPr>
                <w:szCs w:val="24"/>
                <w:lang w:eastAsia="it-IT"/>
              </w:rPr>
              <w:t>DEI TRASPORTI</w:t>
            </w:r>
          </w:p>
        </w:tc>
        <w:tc>
          <w:tcPr>
            <w:tcW w:w="4677" w:type="dxa"/>
          </w:tcPr>
          <w:p w14:paraId="772BB1BC" w14:textId="46A52BDD" w:rsidR="001910FE" w:rsidRDefault="001910FE" w:rsidP="001910FE">
            <w:pPr>
              <w:spacing w:after="0" w:line="240" w:lineRule="auto"/>
              <w:jc w:val="center"/>
              <w:rPr>
                <w:szCs w:val="24"/>
                <w:lang w:eastAsia="it-IT"/>
              </w:rPr>
            </w:pPr>
            <w:r w:rsidRPr="001910FE">
              <w:rPr>
                <w:szCs w:val="24"/>
                <w:lang w:eastAsia="it-IT"/>
              </w:rPr>
              <w:t>IL MINISTRO DELL’ECONOMIA E DELLE FINANZE</w:t>
            </w:r>
          </w:p>
        </w:tc>
      </w:tr>
    </w:tbl>
    <w:p w14:paraId="225961BA" w14:textId="5A06E480" w:rsidR="001910FE" w:rsidRDefault="001910FE" w:rsidP="00F100F9">
      <w:pPr>
        <w:spacing w:after="0" w:line="240" w:lineRule="auto"/>
        <w:ind w:firstLine="567"/>
        <w:jc w:val="both"/>
        <w:rPr>
          <w:szCs w:val="24"/>
          <w:lang w:eastAsia="it-IT"/>
        </w:rPr>
      </w:pPr>
    </w:p>
    <w:p w14:paraId="5578EAB9" w14:textId="77777777" w:rsidR="001910FE" w:rsidRDefault="001910FE" w:rsidP="00F100F9">
      <w:pPr>
        <w:spacing w:after="0" w:line="240" w:lineRule="auto"/>
        <w:ind w:firstLine="567"/>
        <w:jc w:val="both"/>
        <w:rPr>
          <w:szCs w:val="24"/>
          <w:lang w:eastAsia="it-IT"/>
        </w:rPr>
      </w:pPr>
    </w:p>
    <w:p w14:paraId="48216F70" w14:textId="71239EE9" w:rsidR="00C7636D" w:rsidRDefault="00C7636D" w:rsidP="00C7636D">
      <w:pPr>
        <w:spacing w:after="0" w:line="240" w:lineRule="auto"/>
        <w:ind w:left="4820"/>
        <w:jc w:val="both"/>
        <w:rPr>
          <w:szCs w:val="24"/>
          <w:lang w:eastAsia="it-IT"/>
        </w:rPr>
      </w:pPr>
    </w:p>
    <w:p w14:paraId="4FC1857C" w14:textId="77777777" w:rsidR="00C7636D" w:rsidRDefault="00C7636D" w:rsidP="00C7636D">
      <w:pPr>
        <w:spacing w:after="0" w:line="240" w:lineRule="auto"/>
        <w:ind w:left="4820"/>
        <w:jc w:val="both"/>
        <w:rPr>
          <w:szCs w:val="24"/>
          <w:lang w:eastAsia="it-IT"/>
        </w:rPr>
      </w:pPr>
    </w:p>
    <w:p w14:paraId="77A3B872" w14:textId="01F87ACF" w:rsidR="009B32F4" w:rsidRDefault="009B32F4" w:rsidP="009479F8">
      <w:pPr>
        <w:pStyle w:val="Titolo1"/>
        <w:numPr>
          <w:ilvl w:val="0"/>
          <w:numId w:val="0"/>
        </w:numPr>
        <w:jc w:val="center"/>
        <w:rPr>
          <w:rFonts w:eastAsia="Calibri"/>
          <w:bCs/>
          <w:sz w:val="28"/>
          <w:szCs w:val="28"/>
          <w:lang w:eastAsia="it-IT"/>
        </w:rPr>
      </w:pPr>
    </w:p>
    <w:p w14:paraId="348C1671" w14:textId="0648F93B" w:rsidR="009B32F4" w:rsidRDefault="009B32F4" w:rsidP="009B32F4">
      <w:pPr>
        <w:rPr>
          <w:lang w:eastAsia="it-IT"/>
        </w:rPr>
      </w:pPr>
    </w:p>
    <w:p w14:paraId="388E05AE" w14:textId="78AD70E0" w:rsidR="00C7636D" w:rsidRDefault="00C7636D" w:rsidP="009B32F4">
      <w:pPr>
        <w:rPr>
          <w:lang w:eastAsia="it-IT"/>
        </w:rPr>
      </w:pPr>
    </w:p>
    <w:p w14:paraId="51C92FA2" w14:textId="0191EB66" w:rsidR="00C7636D" w:rsidRDefault="00C7636D" w:rsidP="009B32F4">
      <w:pPr>
        <w:rPr>
          <w:lang w:eastAsia="it-IT"/>
        </w:rPr>
      </w:pPr>
    </w:p>
    <w:p w14:paraId="5600517D" w14:textId="1B5C58C2" w:rsidR="00C7636D" w:rsidRDefault="00C7636D" w:rsidP="009B32F4">
      <w:pPr>
        <w:rPr>
          <w:lang w:eastAsia="it-IT"/>
        </w:rPr>
      </w:pPr>
    </w:p>
    <w:p w14:paraId="40C5D5A1" w14:textId="00A16273" w:rsidR="00E6782C" w:rsidRDefault="00E6782C" w:rsidP="009B32F4">
      <w:pPr>
        <w:rPr>
          <w:lang w:eastAsia="it-IT"/>
        </w:rPr>
      </w:pPr>
    </w:p>
    <w:p w14:paraId="4A4A8AE7" w14:textId="28BF9171" w:rsidR="00E6782C" w:rsidRDefault="00E6782C" w:rsidP="009B32F4">
      <w:pPr>
        <w:rPr>
          <w:lang w:eastAsia="it-IT"/>
        </w:rPr>
      </w:pPr>
    </w:p>
    <w:p w14:paraId="583B72F7" w14:textId="7BB6628A" w:rsidR="00E6782C" w:rsidRDefault="00E6782C" w:rsidP="009B32F4">
      <w:pPr>
        <w:rPr>
          <w:lang w:eastAsia="it-IT"/>
        </w:rPr>
      </w:pPr>
    </w:p>
    <w:p w14:paraId="1EEF4F28" w14:textId="5DBC714B" w:rsidR="00E6782C" w:rsidRDefault="00E6782C" w:rsidP="009B32F4">
      <w:pPr>
        <w:rPr>
          <w:lang w:eastAsia="it-IT"/>
        </w:rPr>
      </w:pPr>
    </w:p>
    <w:p w14:paraId="21533A31" w14:textId="10EC2B84" w:rsidR="00E6782C" w:rsidRDefault="00E6782C" w:rsidP="009B32F4">
      <w:pPr>
        <w:rPr>
          <w:lang w:eastAsia="it-IT"/>
        </w:rPr>
      </w:pPr>
    </w:p>
    <w:p w14:paraId="4F4E25E4" w14:textId="04108BDA" w:rsidR="00E6782C" w:rsidRDefault="00E6782C" w:rsidP="009B32F4">
      <w:pPr>
        <w:rPr>
          <w:lang w:eastAsia="it-IT"/>
        </w:rPr>
      </w:pPr>
    </w:p>
    <w:p w14:paraId="09D1CC84" w14:textId="509F9EC5" w:rsidR="00E6782C" w:rsidRDefault="00E6782C" w:rsidP="009B32F4">
      <w:pPr>
        <w:rPr>
          <w:lang w:eastAsia="it-IT"/>
        </w:rPr>
      </w:pPr>
    </w:p>
    <w:p w14:paraId="169ADBF6" w14:textId="4DF53187" w:rsidR="00E6782C" w:rsidRDefault="00E6782C" w:rsidP="009B32F4">
      <w:pPr>
        <w:rPr>
          <w:lang w:eastAsia="it-IT"/>
        </w:rPr>
      </w:pPr>
    </w:p>
    <w:p w14:paraId="5279D49E" w14:textId="26DEA3AA" w:rsidR="00E6782C" w:rsidRDefault="00E6782C" w:rsidP="009B32F4">
      <w:pPr>
        <w:rPr>
          <w:lang w:eastAsia="it-IT"/>
        </w:rPr>
      </w:pPr>
    </w:p>
    <w:p w14:paraId="46398AAC" w14:textId="2889C120" w:rsidR="00E6782C" w:rsidRDefault="00E6782C" w:rsidP="009B32F4">
      <w:pPr>
        <w:rPr>
          <w:lang w:eastAsia="it-IT"/>
        </w:rPr>
      </w:pPr>
    </w:p>
    <w:p w14:paraId="47C2BDE5" w14:textId="14FBC8CB" w:rsidR="00E6782C" w:rsidRDefault="00E6782C" w:rsidP="009B32F4">
      <w:pPr>
        <w:rPr>
          <w:lang w:eastAsia="it-IT"/>
        </w:rPr>
      </w:pPr>
    </w:p>
    <w:p w14:paraId="1A52DBFB" w14:textId="77CDE38D" w:rsidR="00E6782C" w:rsidRDefault="00E6782C" w:rsidP="009B32F4">
      <w:pPr>
        <w:rPr>
          <w:lang w:eastAsia="it-IT"/>
        </w:rPr>
      </w:pPr>
    </w:p>
    <w:p w14:paraId="309FA158" w14:textId="76FD7007" w:rsidR="00E6782C" w:rsidRDefault="00E6782C" w:rsidP="009B32F4">
      <w:pPr>
        <w:rPr>
          <w:lang w:eastAsia="it-IT"/>
        </w:rPr>
      </w:pPr>
    </w:p>
    <w:p w14:paraId="73BFAC2F" w14:textId="1B3D79CB" w:rsidR="00E6782C" w:rsidRDefault="00E6782C" w:rsidP="009B32F4">
      <w:pPr>
        <w:rPr>
          <w:lang w:eastAsia="it-IT"/>
        </w:rPr>
      </w:pPr>
    </w:p>
    <w:p w14:paraId="421116C0" w14:textId="21EEAC3A" w:rsidR="00B0728F" w:rsidRPr="00731590" w:rsidRDefault="00B0728F" w:rsidP="009479F8">
      <w:pPr>
        <w:pStyle w:val="Titolo1"/>
        <w:numPr>
          <w:ilvl w:val="0"/>
          <w:numId w:val="0"/>
        </w:numPr>
        <w:jc w:val="center"/>
        <w:rPr>
          <w:rFonts w:eastAsia="Calibri"/>
          <w:bCs/>
          <w:sz w:val="28"/>
          <w:szCs w:val="28"/>
          <w:lang w:eastAsia="it-IT"/>
        </w:rPr>
      </w:pPr>
      <w:r w:rsidRPr="00731590">
        <w:rPr>
          <w:rFonts w:eastAsia="Calibri"/>
          <w:bCs/>
          <w:sz w:val="28"/>
          <w:szCs w:val="28"/>
          <w:lang w:eastAsia="it-IT"/>
        </w:rPr>
        <w:t>Allegato A</w:t>
      </w:r>
    </w:p>
    <w:p w14:paraId="24A2ABFA" w14:textId="4D2B487A" w:rsidR="00B0728F" w:rsidRPr="00731590" w:rsidRDefault="00B0728F" w:rsidP="00883907">
      <w:pPr>
        <w:jc w:val="both"/>
      </w:pPr>
      <w:r w:rsidRPr="00731590">
        <w:t xml:space="preserve">Ai </w:t>
      </w:r>
      <w:r w:rsidR="0030443F" w:rsidRPr="00731590">
        <w:t>fin</w:t>
      </w:r>
      <w:r w:rsidR="0030443F">
        <w:t>i</w:t>
      </w:r>
      <w:r w:rsidR="0030443F" w:rsidRPr="00731590">
        <w:t xml:space="preserve"> </w:t>
      </w:r>
      <w:r w:rsidRPr="00731590">
        <w:t xml:space="preserve">del </w:t>
      </w:r>
      <w:r w:rsidR="0030443F">
        <w:t>presente</w:t>
      </w:r>
      <w:r w:rsidR="0030443F" w:rsidRPr="00731590">
        <w:t xml:space="preserve"> </w:t>
      </w:r>
      <w:r w:rsidRPr="00731590">
        <w:t>decreto si adottano le seguenti definizioni.</w:t>
      </w:r>
    </w:p>
    <w:p w14:paraId="0FAC62B3" w14:textId="77777777" w:rsidR="00B0728F" w:rsidRPr="00731590" w:rsidRDefault="00B0728F" w:rsidP="00883907">
      <w:pPr>
        <w:pStyle w:val="Titolo2"/>
      </w:pPr>
      <w:proofErr w:type="spellStart"/>
      <w:r w:rsidRPr="00731590">
        <w:t>Vehicle</w:t>
      </w:r>
      <w:proofErr w:type="spellEnd"/>
      <w:r w:rsidRPr="00731590">
        <w:t xml:space="preserve"> sharing</w:t>
      </w:r>
    </w:p>
    <w:p w14:paraId="63532E70" w14:textId="77777777" w:rsidR="00B0728F" w:rsidRPr="00731590" w:rsidRDefault="00B0728F" w:rsidP="00883907">
      <w:pPr>
        <w:jc w:val="both"/>
      </w:pPr>
      <w:r w:rsidRPr="00731590">
        <w:t>Servizi di noleggio senza conducente di cui all'articolo 84, comma 1, del decreto legislativo 30 aprile 1992, n. 285, che garantiscano stabilmente la possibilità di effettuare anche noleggi inferiori ad un’ora, in autonomia da parte dell’utente del servizio, senza interazione con personale dedicato per il prelievo e il rilascio del veicolo e previa preiscrizione al servizio.</w:t>
      </w:r>
    </w:p>
    <w:p w14:paraId="09296E7C" w14:textId="28E5ECCB" w:rsidR="00B0728F" w:rsidRPr="00731590" w:rsidRDefault="00B0728F" w:rsidP="00883907">
      <w:pPr>
        <w:jc w:val="both"/>
      </w:pPr>
      <w:r w:rsidRPr="00731590">
        <w:t xml:space="preserve">I servizi di </w:t>
      </w:r>
      <w:proofErr w:type="spellStart"/>
      <w:r w:rsidRPr="00622A29">
        <w:rPr>
          <w:i/>
          <w:iCs/>
        </w:rPr>
        <w:t>vehicle</w:t>
      </w:r>
      <w:proofErr w:type="spellEnd"/>
      <w:r w:rsidRPr="00622A29">
        <w:rPr>
          <w:i/>
          <w:iCs/>
        </w:rPr>
        <w:t xml:space="preserve"> sharing</w:t>
      </w:r>
      <w:r w:rsidRPr="00731590">
        <w:t xml:space="preserve"> ammessi al finanziamento sono quelli svolti con i veicoli di cui decreto legislativo 30 aprile 1992, n. 285 </w:t>
      </w:r>
      <w:r w:rsidR="00823587" w:rsidRPr="00731590">
        <w:t xml:space="preserve">e successive modificazioni </w:t>
      </w:r>
      <w:r w:rsidRPr="00731590">
        <w:t>individuati a</w:t>
      </w:r>
      <w:r w:rsidR="00823587" w:rsidRPr="00731590">
        <w:t>gli:</w:t>
      </w:r>
    </w:p>
    <w:p w14:paraId="3EC56EBB" w14:textId="43F23BC7" w:rsidR="00823587" w:rsidRPr="00731590" w:rsidRDefault="00B0728F" w:rsidP="00883907">
      <w:pPr>
        <w:pStyle w:val="Puntoelenco"/>
      </w:pPr>
      <w:r w:rsidRPr="00731590">
        <w:t>art. 50</w:t>
      </w:r>
      <w:r w:rsidR="0090583B" w:rsidRPr="00731590">
        <w:t xml:space="preserve">, ivi compresi i monopattini a propulsione prevalentemente elettrica non dotati di posti a sedere, aventi motore elettrico di potenza nominale continua non superiore a 0,50 kW, rispondenti agli altri requisiti tecnici e costruttivi indicati nel decreto del Ministro delle infrastrutture e dei trasporti 4 giugno 2019, pubblicato nella Gazzetta Ufficiale n. 162 del 12 luglio 2019, come disposto dall’art. 1 comma 75 della </w:t>
      </w:r>
      <w:r w:rsidR="0033203B">
        <w:t>l</w:t>
      </w:r>
      <w:r w:rsidR="0090583B" w:rsidRPr="00731590">
        <w:t>egge 27 dicembre 2019</w:t>
      </w:r>
      <w:r w:rsidR="0033203B">
        <w:t>, n. 160</w:t>
      </w:r>
      <w:r w:rsidR="0090583B" w:rsidRPr="00731590">
        <w:t>;</w:t>
      </w:r>
    </w:p>
    <w:p w14:paraId="15803ED3" w14:textId="199D334A" w:rsidR="00B0728F" w:rsidRPr="00731590" w:rsidRDefault="00B0728F" w:rsidP="00883907">
      <w:pPr>
        <w:pStyle w:val="Puntoelenco"/>
        <w:rPr>
          <w:lang w:val="en-GB"/>
        </w:rPr>
      </w:pPr>
      <w:r w:rsidRPr="00731590">
        <w:rPr>
          <w:lang w:val="en-GB"/>
        </w:rPr>
        <w:t xml:space="preserve">art. </w:t>
      </w:r>
      <w:proofErr w:type="gramStart"/>
      <w:r w:rsidRPr="00731590">
        <w:rPr>
          <w:lang w:val="en-GB"/>
        </w:rPr>
        <w:t>52;</w:t>
      </w:r>
      <w:proofErr w:type="gramEnd"/>
      <w:r w:rsidRPr="00731590">
        <w:rPr>
          <w:lang w:val="en-GB"/>
        </w:rPr>
        <w:t xml:space="preserve"> </w:t>
      </w:r>
    </w:p>
    <w:p w14:paraId="73F6EBD5" w14:textId="033E5480" w:rsidR="00B0728F" w:rsidRPr="00731590" w:rsidRDefault="00B0728F" w:rsidP="00883907">
      <w:pPr>
        <w:pStyle w:val="Puntoelenco"/>
        <w:rPr>
          <w:lang w:val="en-GB"/>
        </w:rPr>
      </w:pPr>
      <w:r w:rsidRPr="00731590">
        <w:rPr>
          <w:lang w:val="en-GB"/>
        </w:rPr>
        <w:t>art. 53, comma</w:t>
      </w:r>
      <w:r w:rsidR="0033203B">
        <w:rPr>
          <w:lang w:val="en-GB"/>
        </w:rPr>
        <w:t xml:space="preserve"> </w:t>
      </w:r>
      <w:r w:rsidRPr="00731590">
        <w:rPr>
          <w:lang w:val="en-GB"/>
        </w:rPr>
        <w:t xml:space="preserve">1 </w:t>
      </w:r>
      <w:proofErr w:type="spellStart"/>
      <w:r w:rsidRPr="00731590">
        <w:rPr>
          <w:lang w:val="en-GB"/>
        </w:rPr>
        <w:t>lettera</w:t>
      </w:r>
      <w:proofErr w:type="spellEnd"/>
      <w:r w:rsidRPr="00731590">
        <w:rPr>
          <w:lang w:val="en-GB"/>
        </w:rPr>
        <w:t xml:space="preserve"> a</w:t>
      </w:r>
      <w:proofErr w:type="gramStart"/>
      <w:r w:rsidRPr="00731590">
        <w:rPr>
          <w:lang w:val="en-GB"/>
        </w:rPr>
        <w:t>);</w:t>
      </w:r>
      <w:proofErr w:type="gramEnd"/>
      <w:r w:rsidRPr="00731590">
        <w:rPr>
          <w:lang w:val="en-GB"/>
        </w:rPr>
        <w:t xml:space="preserve"> </w:t>
      </w:r>
    </w:p>
    <w:p w14:paraId="62C239A5" w14:textId="3EEC1DC1" w:rsidR="00B0728F" w:rsidRPr="00731590" w:rsidRDefault="00B0728F" w:rsidP="00883907">
      <w:pPr>
        <w:pStyle w:val="Puntoelenco"/>
        <w:rPr>
          <w:lang w:val="en-GB"/>
        </w:rPr>
      </w:pPr>
      <w:r w:rsidRPr="00731590">
        <w:rPr>
          <w:lang w:val="en-GB"/>
        </w:rPr>
        <w:t>art. 54, comma</w:t>
      </w:r>
      <w:r w:rsidR="0033203B">
        <w:rPr>
          <w:lang w:val="en-GB"/>
        </w:rPr>
        <w:t xml:space="preserve"> </w:t>
      </w:r>
      <w:r w:rsidRPr="00731590">
        <w:rPr>
          <w:lang w:val="en-GB"/>
        </w:rPr>
        <w:t xml:space="preserve">1 </w:t>
      </w:r>
      <w:proofErr w:type="spellStart"/>
      <w:r w:rsidRPr="00731590">
        <w:rPr>
          <w:lang w:val="en-GB"/>
        </w:rPr>
        <w:t>lettera</w:t>
      </w:r>
      <w:proofErr w:type="spellEnd"/>
      <w:r w:rsidRPr="00731590">
        <w:rPr>
          <w:lang w:val="en-GB"/>
        </w:rPr>
        <w:t xml:space="preserve"> a).</w:t>
      </w:r>
    </w:p>
    <w:p w14:paraId="502A651A" w14:textId="77777777" w:rsidR="00B0728F" w:rsidRPr="00731590" w:rsidRDefault="00B0728F" w:rsidP="00883907">
      <w:pPr>
        <w:pStyle w:val="Titolo2"/>
      </w:pPr>
      <w:r w:rsidRPr="00731590">
        <w:t>Area di copertura</w:t>
      </w:r>
    </w:p>
    <w:p w14:paraId="05758172" w14:textId="77777777" w:rsidR="00B0728F" w:rsidRPr="00731590" w:rsidRDefault="00B0728F" w:rsidP="00883907">
      <w:pPr>
        <w:jc w:val="both"/>
      </w:pPr>
      <w:r w:rsidRPr="00731590">
        <w:t xml:space="preserve">Area del territorio a cui è dedicato il servizio di </w:t>
      </w:r>
      <w:proofErr w:type="spellStart"/>
      <w:r w:rsidRPr="00622A29">
        <w:rPr>
          <w:i/>
          <w:iCs/>
        </w:rPr>
        <w:t>vehicle</w:t>
      </w:r>
      <w:proofErr w:type="spellEnd"/>
      <w:r w:rsidRPr="00622A29">
        <w:rPr>
          <w:i/>
          <w:iCs/>
        </w:rPr>
        <w:t xml:space="preserve"> sharing</w:t>
      </w:r>
      <w:r w:rsidRPr="00731590">
        <w:t>, indipendentemente dal modello operativo prescelto.</w:t>
      </w:r>
    </w:p>
    <w:p w14:paraId="07F3B494" w14:textId="77777777" w:rsidR="00B0728F" w:rsidRPr="00731590" w:rsidRDefault="00B0728F" w:rsidP="00883907">
      <w:pPr>
        <w:pStyle w:val="Titolo2"/>
      </w:pPr>
      <w:r w:rsidRPr="00731590">
        <w:t>Station-</w:t>
      </w:r>
      <w:proofErr w:type="spellStart"/>
      <w:r w:rsidRPr="00731590">
        <w:t>Based</w:t>
      </w:r>
      <w:proofErr w:type="spellEnd"/>
    </w:p>
    <w:p w14:paraId="2B635427" w14:textId="77777777" w:rsidR="00B0728F" w:rsidRPr="00731590" w:rsidRDefault="00B0728F" w:rsidP="00883907">
      <w:pPr>
        <w:jc w:val="both"/>
      </w:pPr>
      <w:r w:rsidRPr="00731590">
        <w:t xml:space="preserve">Modello operativo di servizi di </w:t>
      </w:r>
      <w:proofErr w:type="spellStart"/>
      <w:r w:rsidRPr="00622A29">
        <w:rPr>
          <w:i/>
          <w:iCs/>
        </w:rPr>
        <w:t>vehicle</w:t>
      </w:r>
      <w:proofErr w:type="spellEnd"/>
      <w:r w:rsidRPr="00622A29">
        <w:rPr>
          <w:i/>
          <w:iCs/>
        </w:rPr>
        <w:t xml:space="preserve"> sharing</w:t>
      </w:r>
      <w:r w:rsidRPr="00731590">
        <w:t xml:space="preserve"> che disloca i veicoli secondo una rete di punti di rilascio e prelievo dei veicoli predefinita.</w:t>
      </w:r>
    </w:p>
    <w:p w14:paraId="1CA03376" w14:textId="77777777" w:rsidR="00B0728F" w:rsidRPr="00731590" w:rsidRDefault="00B0728F" w:rsidP="00883907">
      <w:pPr>
        <w:pStyle w:val="Titolo2"/>
      </w:pPr>
      <w:r w:rsidRPr="00731590">
        <w:t>Free-</w:t>
      </w:r>
      <w:proofErr w:type="spellStart"/>
      <w:r w:rsidRPr="00731590">
        <w:t>Floating</w:t>
      </w:r>
      <w:proofErr w:type="spellEnd"/>
    </w:p>
    <w:p w14:paraId="48E300CC" w14:textId="3879CFC2" w:rsidR="00B0728F" w:rsidRPr="00731590" w:rsidRDefault="00B0728F" w:rsidP="00883907">
      <w:pPr>
        <w:jc w:val="both"/>
      </w:pPr>
      <w:r w:rsidRPr="00731590">
        <w:t xml:space="preserve">Modello operativo di servizi di </w:t>
      </w:r>
      <w:proofErr w:type="spellStart"/>
      <w:r w:rsidRPr="00622A29">
        <w:rPr>
          <w:i/>
          <w:iCs/>
        </w:rPr>
        <w:t>vehicle</w:t>
      </w:r>
      <w:proofErr w:type="spellEnd"/>
      <w:r w:rsidRPr="00622A29">
        <w:rPr>
          <w:i/>
          <w:iCs/>
        </w:rPr>
        <w:t xml:space="preserve"> sharing</w:t>
      </w:r>
      <w:r w:rsidRPr="00731590">
        <w:t xml:space="preserve"> che disloca i veicoli secondo una rete di punti di rilascio e prelievo indefinita ma compresa all’interno di </w:t>
      </w:r>
      <w:r w:rsidR="00823587" w:rsidRPr="00731590">
        <w:t>un’area</w:t>
      </w:r>
      <w:r w:rsidRPr="00731590">
        <w:t xml:space="preserve"> operativa predefinita, anche di estensione discontinua.</w:t>
      </w:r>
    </w:p>
    <w:p w14:paraId="47A25E29" w14:textId="77777777" w:rsidR="00B0728F" w:rsidRPr="00731590" w:rsidRDefault="00B0728F" w:rsidP="00883907">
      <w:pPr>
        <w:pStyle w:val="Titolo2"/>
      </w:pPr>
      <w:r w:rsidRPr="00731590">
        <w:t>Integrazione tariffaria</w:t>
      </w:r>
    </w:p>
    <w:p w14:paraId="3B0332BF" w14:textId="77777777" w:rsidR="00B0728F" w:rsidRPr="00731590" w:rsidRDefault="00B0728F" w:rsidP="00883907">
      <w:pPr>
        <w:jc w:val="both"/>
      </w:pPr>
      <w:r w:rsidRPr="00731590">
        <w:t xml:space="preserve">Tutte le diverse forme di tariffe dei servizi di </w:t>
      </w:r>
      <w:proofErr w:type="spellStart"/>
      <w:r w:rsidRPr="00622A29">
        <w:rPr>
          <w:i/>
          <w:iCs/>
        </w:rPr>
        <w:t>vehicle</w:t>
      </w:r>
      <w:proofErr w:type="spellEnd"/>
      <w:r w:rsidRPr="00622A29">
        <w:rPr>
          <w:i/>
          <w:iCs/>
        </w:rPr>
        <w:t xml:space="preserve"> sharing</w:t>
      </w:r>
      <w:r w:rsidRPr="00731590">
        <w:t xml:space="preserve"> che prevedano offerte economicamente vantaggiose per gli utenti del servizio di Tpl rispetto alle tariffe ordinarie praticate dagli operatori di </w:t>
      </w:r>
      <w:proofErr w:type="spellStart"/>
      <w:r w:rsidRPr="00622A29">
        <w:rPr>
          <w:i/>
          <w:iCs/>
        </w:rPr>
        <w:t>vehicle</w:t>
      </w:r>
      <w:proofErr w:type="spellEnd"/>
      <w:r w:rsidRPr="00622A29">
        <w:rPr>
          <w:i/>
          <w:iCs/>
        </w:rPr>
        <w:t xml:space="preserve"> sharing</w:t>
      </w:r>
      <w:r w:rsidRPr="00731590">
        <w:t>.</w:t>
      </w:r>
    </w:p>
    <w:p w14:paraId="04BE99CA" w14:textId="77777777" w:rsidR="00B0728F" w:rsidRPr="00731590" w:rsidRDefault="00B0728F" w:rsidP="00883907">
      <w:pPr>
        <w:pStyle w:val="Titolo2"/>
      </w:pPr>
      <w:r w:rsidRPr="00731590">
        <w:t>Integrazione modale</w:t>
      </w:r>
    </w:p>
    <w:p w14:paraId="1F1E8A0A" w14:textId="77777777" w:rsidR="00B0728F" w:rsidRPr="00731590" w:rsidRDefault="00B0728F" w:rsidP="00883907">
      <w:pPr>
        <w:jc w:val="both"/>
      </w:pPr>
      <w:r w:rsidRPr="00731590">
        <w:t xml:space="preserve">Tutte le diverse forme di organizzazione operativa dei servizi di </w:t>
      </w:r>
      <w:proofErr w:type="spellStart"/>
      <w:r w:rsidRPr="00622A29">
        <w:rPr>
          <w:i/>
          <w:iCs/>
        </w:rPr>
        <w:t>vehicle</w:t>
      </w:r>
      <w:proofErr w:type="spellEnd"/>
      <w:r w:rsidRPr="00622A29">
        <w:rPr>
          <w:i/>
          <w:iCs/>
        </w:rPr>
        <w:t xml:space="preserve"> sharing</w:t>
      </w:r>
      <w:r w:rsidRPr="00731590">
        <w:t xml:space="preserve"> che prevedano una facilitazione d’interscambio tra modalità per gli utenti del servizio di Tpl e viceversa.</w:t>
      </w:r>
    </w:p>
    <w:p w14:paraId="71A26930" w14:textId="77777777" w:rsidR="00B0728F" w:rsidRPr="00731590" w:rsidRDefault="00B0728F" w:rsidP="00883907">
      <w:pPr>
        <w:pStyle w:val="Titolo2"/>
      </w:pPr>
      <w:r w:rsidRPr="00731590">
        <w:lastRenderedPageBreak/>
        <w:t>Carpooling</w:t>
      </w:r>
    </w:p>
    <w:p w14:paraId="7EAA422E" w14:textId="7480B09A" w:rsidR="00B0728F" w:rsidRPr="00731590" w:rsidRDefault="00B0728F" w:rsidP="00883907">
      <w:pPr>
        <w:jc w:val="both"/>
      </w:pPr>
      <w:r w:rsidRPr="00731590">
        <w:t>Servizio di mobilità basato sull’uso condiviso di veicoli privati tra due o più persone che devono percorrere uno stesso itinerario mediante</w:t>
      </w:r>
      <w:r w:rsidR="00461B6B">
        <w:t xml:space="preserve"> </w:t>
      </w:r>
      <w:r w:rsidR="00461B6B" w:rsidRPr="00C14C06">
        <w:t>l’uso</w:t>
      </w:r>
      <w:r w:rsidR="00C14C06" w:rsidRPr="00C14C06">
        <w:t xml:space="preserve"> di</w:t>
      </w:r>
      <w:r w:rsidRPr="00C14C06">
        <w:t xml:space="preserve"> uno</w:t>
      </w:r>
      <w:r w:rsidRPr="00731590">
        <w:t xml:space="preserve"> strumento tecnologico in grado di assicurare la funzione di richiesta e offerta del viaggio condiviso e la sua eventuale prenotazione. </w:t>
      </w:r>
    </w:p>
    <w:p w14:paraId="64B9E6B4" w14:textId="77777777" w:rsidR="00B0728F" w:rsidRPr="00731590" w:rsidRDefault="00B0728F" w:rsidP="00883907">
      <w:pPr>
        <w:jc w:val="both"/>
      </w:pPr>
      <w:r w:rsidRPr="00731590">
        <w:t>Nel servizio di carpooling gli utenti possono solo compartecipare alle spese di viaggio sostenute dal proprietario/conducente del veicolo, comprese le eventuali commissioni per l’uso dello strumento tecnologico necessario per fornire il servizio stesso.</w:t>
      </w:r>
    </w:p>
    <w:p w14:paraId="4AD47B4E" w14:textId="77777777" w:rsidR="00B0728F" w:rsidRPr="00731590" w:rsidRDefault="00B0728F" w:rsidP="00883907">
      <w:pPr>
        <w:pStyle w:val="Titolo2"/>
      </w:pPr>
      <w:r w:rsidRPr="00731590">
        <w:t>Demand Responsive Transit (DRT)</w:t>
      </w:r>
    </w:p>
    <w:p w14:paraId="548B3919" w14:textId="77777777" w:rsidR="00B0728F" w:rsidRPr="00731590" w:rsidRDefault="00B0728F" w:rsidP="00883907">
      <w:pPr>
        <w:jc w:val="both"/>
      </w:pPr>
      <w:r w:rsidRPr="00731590">
        <w:t xml:space="preserve">Servizio di trasporto a chiamata che si svolge senza un itinerario o un orario prestabilito, dedicato a più utenti che condividono un veicolo lungo un tragitto o parte di esso e in cui la funzione di ricerca, prenotazione e pagamento del viaggio avviene attraverso </w:t>
      </w:r>
      <w:proofErr w:type="spellStart"/>
      <w:r w:rsidRPr="00731590">
        <w:t>un’app</w:t>
      </w:r>
      <w:proofErr w:type="spellEnd"/>
      <w:r w:rsidRPr="00731590">
        <w:t xml:space="preserve"> mobile o un sito web.</w:t>
      </w:r>
    </w:p>
    <w:p w14:paraId="7C1A6525" w14:textId="02302D2A" w:rsidR="00B0728F" w:rsidRPr="00731590" w:rsidRDefault="00CF18A6" w:rsidP="00883907">
      <w:pPr>
        <w:pStyle w:val="Titolo2"/>
      </w:pPr>
      <w:r w:rsidRPr="00731590">
        <w:t xml:space="preserve">Incentivi </w:t>
      </w:r>
      <w:r w:rsidR="00A27D92" w:rsidRPr="00731590">
        <w:t xml:space="preserve">mobilità sostenibile </w:t>
      </w:r>
    </w:p>
    <w:p w14:paraId="6AF97DF1" w14:textId="1F632E2A" w:rsidR="0009337C" w:rsidRPr="00731590" w:rsidRDefault="00B0728F" w:rsidP="00883907">
      <w:pPr>
        <w:jc w:val="both"/>
      </w:pPr>
      <w:r w:rsidRPr="00731590">
        <w:t xml:space="preserve">Incentivi erogati all’utente del servizio di </w:t>
      </w:r>
      <w:r w:rsidR="00F53FAD" w:rsidRPr="00731590">
        <w:t>mobilità sostenibile</w:t>
      </w:r>
      <w:r w:rsidRPr="00731590">
        <w:t xml:space="preserve">, nella forma di un </w:t>
      </w:r>
      <w:r w:rsidR="00A27D92" w:rsidRPr="00731590">
        <w:t xml:space="preserve">voucher, card o </w:t>
      </w:r>
      <w:r w:rsidRPr="00731590">
        <w:t xml:space="preserve">rimborso delle spese di </w:t>
      </w:r>
      <w:r w:rsidR="00A27D92" w:rsidRPr="00731590">
        <w:t xml:space="preserve">fruizione del servizio / </w:t>
      </w:r>
      <w:r w:rsidRPr="00731590">
        <w:t xml:space="preserve">viaggio, anche parziale e sino ad un limite prestabilito, </w:t>
      </w:r>
      <w:r w:rsidR="00F53FAD" w:rsidRPr="00731590">
        <w:t xml:space="preserve">su abbonamenti o corse singole, </w:t>
      </w:r>
      <w:r w:rsidRPr="00731590">
        <w:t xml:space="preserve">sostenute </w:t>
      </w:r>
      <w:r w:rsidR="00A27D92" w:rsidRPr="00731590">
        <w:t xml:space="preserve">per la fruizione di un determinato servizio o </w:t>
      </w:r>
      <w:r w:rsidRPr="00731590">
        <w:t>dal conducente del veicolo</w:t>
      </w:r>
      <w:r w:rsidR="00A27D92" w:rsidRPr="00731590">
        <w:t xml:space="preserve"> nel caso del carpooling</w:t>
      </w:r>
      <w:r w:rsidRPr="00731590">
        <w:t xml:space="preserve">. </w:t>
      </w:r>
    </w:p>
    <w:p w14:paraId="7A5B3146" w14:textId="77777777" w:rsidR="00B0728F" w:rsidRPr="00731590" w:rsidRDefault="00B0728F" w:rsidP="00883907">
      <w:pPr>
        <w:pStyle w:val="Titolo2"/>
      </w:pPr>
      <w:r w:rsidRPr="00731590">
        <w:t xml:space="preserve">Misura di </w:t>
      </w:r>
      <w:proofErr w:type="spellStart"/>
      <w:r w:rsidRPr="00731590">
        <w:t>mobility</w:t>
      </w:r>
      <w:proofErr w:type="spellEnd"/>
      <w:r w:rsidRPr="00731590">
        <w:t xml:space="preserve"> management</w:t>
      </w:r>
    </w:p>
    <w:p w14:paraId="177E4012" w14:textId="4C3BE2D2" w:rsidR="00B0728F" w:rsidRPr="00731590" w:rsidRDefault="00B0728F" w:rsidP="00883907">
      <w:pPr>
        <w:jc w:val="both"/>
      </w:pPr>
      <w:r w:rsidRPr="00731590">
        <w:t>Misura inserita all’interno di un</w:t>
      </w:r>
      <w:r w:rsidR="00B52BEE">
        <w:t>:</w:t>
      </w:r>
    </w:p>
    <w:p w14:paraId="616CACE8" w14:textId="0E12E840" w:rsidR="00B0728F" w:rsidRPr="00731590" w:rsidRDefault="00B0728F" w:rsidP="00883907">
      <w:pPr>
        <w:pStyle w:val="Puntoelenco"/>
      </w:pPr>
      <w:r w:rsidRPr="00731590">
        <w:t>Piano per gli Spostamenti Casa-Lavoro ai sensi del</w:t>
      </w:r>
      <w:r w:rsidR="005B77B0">
        <w:t>l’</w:t>
      </w:r>
      <w:r w:rsidRPr="00731590">
        <w:t xml:space="preserve">art. 229, comma 4, del </w:t>
      </w:r>
      <w:r w:rsidR="005B77B0">
        <w:t>d</w:t>
      </w:r>
      <w:r w:rsidRPr="00731590">
        <w:t xml:space="preserve">ecreto «Rilancio» convertito con </w:t>
      </w:r>
      <w:r w:rsidR="005B77B0">
        <w:t>l</w:t>
      </w:r>
      <w:r w:rsidRPr="00731590">
        <w:t xml:space="preserve">egge 17.7.2020, n.77, Decreto interministeriale n. 179/2021 e Decreto </w:t>
      </w:r>
      <w:proofErr w:type="spellStart"/>
      <w:r w:rsidRPr="00731590">
        <w:t>interdirettoriale</w:t>
      </w:r>
      <w:proofErr w:type="spellEnd"/>
      <w:r w:rsidRPr="00731590">
        <w:t xml:space="preserve"> 4 agosto 2021, n. 209</w:t>
      </w:r>
      <w:r w:rsidR="00090377">
        <w:t>;</w:t>
      </w:r>
    </w:p>
    <w:p w14:paraId="21322D3B" w14:textId="06649DE5" w:rsidR="00B0728F" w:rsidRPr="00731590" w:rsidRDefault="00B0728F" w:rsidP="00883907">
      <w:pPr>
        <w:pStyle w:val="Puntoelenco"/>
      </w:pPr>
      <w:r w:rsidRPr="00731590">
        <w:t>Piano per gli Spostamenti Casa-Scuola ai sensi della Legge 221 del 28/12/2015</w:t>
      </w:r>
      <w:r w:rsidR="00090377">
        <w:t>;</w:t>
      </w:r>
      <w:r w:rsidRPr="00731590">
        <w:t xml:space="preserve"> </w:t>
      </w:r>
    </w:p>
    <w:p w14:paraId="1CFDE7F5" w14:textId="77777777" w:rsidR="00B0728F" w:rsidRPr="00731590" w:rsidRDefault="00B0728F" w:rsidP="00883907">
      <w:pPr>
        <w:pStyle w:val="Puntoelenco"/>
      </w:pPr>
      <w:r w:rsidRPr="00731590">
        <w:t xml:space="preserve">Piano per la gestione della domanda di mobilità riferiti a poli o aree che ospitano manifestazioni ad alta affluenza di pubblico in modo temporaneo, validati dal </w:t>
      </w:r>
      <w:proofErr w:type="spellStart"/>
      <w:r w:rsidRPr="00B52BEE">
        <w:rPr>
          <w:i/>
          <w:iCs/>
        </w:rPr>
        <w:t>Mobility</w:t>
      </w:r>
      <w:proofErr w:type="spellEnd"/>
      <w:r w:rsidRPr="00B52BEE">
        <w:rPr>
          <w:i/>
          <w:iCs/>
        </w:rPr>
        <w:t xml:space="preserve"> Manager</w:t>
      </w:r>
      <w:r w:rsidRPr="00731590">
        <w:t xml:space="preserve"> d’area.</w:t>
      </w:r>
    </w:p>
    <w:p w14:paraId="53B86C55" w14:textId="77777777" w:rsidR="00B0728F" w:rsidRPr="00731590" w:rsidRDefault="00B0728F" w:rsidP="00E17E14">
      <w:pPr>
        <w:spacing w:after="0" w:line="240" w:lineRule="auto"/>
        <w:ind w:right="-1" w:firstLine="567"/>
        <w:jc w:val="right"/>
        <w:rPr>
          <w:b/>
          <w:szCs w:val="24"/>
          <w:lang w:eastAsia="it-IT"/>
        </w:rPr>
      </w:pPr>
    </w:p>
    <w:p w14:paraId="6520D9E9" w14:textId="77777777" w:rsidR="0038332F" w:rsidRPr="00731590" w:rsidRDefault="0038332F" w:rsidP="00701934">
      <w:pPr>
        <w:tabs>
          <w:tab w:val="left" w:pos="9214"/>
        </w:tabs>
        <w:spacing w:after="0" w:line="240" w:lineRule="auto"/>
        <w:jc w:val="both"/>
        <w:rPr>
          <w:b/>
          <w:szCs w:val="24"/>
          <w:lang w:eastAsia="it-IT"/>
        </w:rPr>
      </w:pPr>
    </w:p>
    <w:sectPr w:rsidR="0038332F" w:rsidRPr="00731590" w:rsidSect="009D0644">
      <w:footerReference w:type="even" r:id="rId11"/>
      <w:footerReference w:type="default" r:id="rId12"/>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840" w14:textId="77777777" w:rsidR="004F12CE" w:rsidRDefault="004F12CE">
      <w:r>
        <w:separator/>
      </w:r>
    </w:p>
  </w:endnote>
  <w:endnote w:type="continuationSeparator" w:id="0">
    <w:p w14:paraId="35F5E19A" w14:textId="77777777" w:rsidR="004F12CE" w:rsidRDefault="004F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FEC3" w14:textId="77777777" w:rsidR="00E53F24" w:rsidRDefault="00E53F24" w:rsidP="002445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B05F5">
      <w:rPr>
        <w:rStyle w:val="Numeropagina"/>
        <w:noProof/>
      </w:rPr>
      <w:t>5</w:t>
    </w:r>
    <w:r>
      <w:rPr>
        <w:rStyle w:val="Numeropagina"/>
      </w:rPr>
      <w:fldChar w:fldCharType="end"/>
    </w:r>
  </w:p>
  <w:p w14:paraId="4AF2420D" w14:textId="77777777" w:rsidR="00E53F24" w:rsidRDefault="00E53F24" w:rsidP="00936D0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B884" w14:textId="3CB67772" w:rsidR="00E53F24" w:rsidRDefault="00E53F24" w:rsidP="002445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12DB9">
      <w:rPr>
        <w:rStyle w:val="Numeropagina"/>
        <w:noProof/>
      </w:rPr>
      <w:t>2</w:t>
    </w:r>
    <w:r>
      <w:rPr>
        <w:rStyle w:val="Numeropagina"/>
      </w:rPr>
      <w:fldChar w:fldCharType="end"/>
    </w:r>
  </w:p>
  <w:p w14:paraId="7D9449C2" w14:textId="77777777" w:rsidR="00E53F24" w:rsidRDefault="00E53F24" w:rsidP="00402A6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0B83" w14:textId="77777777" w:rsidR="004F12CE" w:rsidRDefault="004F12CE">
      <w:r>
        <w:separator/>
      </w:r>
    </w:p>
  </w:footnote>
  <w:footnote w:type="continuationSeparator" w:id="0">
    <w:p w14:paraId="01FC446C" w14:textId="77777777" w:rsidR="004F12CE" w:rsidRDefault="004F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1C815C"/>
    <w:lvl w:ilvl="0">
      <w:start w:val="1"/>
      <w:numFmt w:val="bullet"/>
      <w:pStyle w:val="Puntoelenco"/>
      <w:lvlText w:val=""/>
      <w:lvlJc w:val="left"/>
      <w:pPr>
        <w:ind w:left="360" w:hanging="360"/>
      </w:pPr>
      <w:rPr>
        <w:rFonts w:ascii="Symbol" w:hAnsi="Symbol" w:hint="default"/>
      </w:rPr>
    </w:lvl>
  </w:abstractNum>
  <w:abstractNum w:abstractNumId="1" w15:restartNumberingAfterBreak="0">
    <w:nsid w:val="137400E2"/>
    <w:multiLevelType w:val="hybridMultilevel"/>
    <w:tmpl w:val="45C2A35E"/>
    <w:lvl w:ilvl="0" w:tplc="45F41566">
      <w:numFmt w:val="bullet"/>
      <w:lvlText w:val="•"/>
      <w:lvlJc w:val="left"/>
      <w:pPr>
        <w:ind w:left="1070" w:hanging="71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6322B"/>
    <w:multiLevelType w:val="hybridMultilevel"/>
    <w:tmpl w:val="4CE8C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E72E4A"/>
    <w:multiLevelType w:val="hybridMultilevel"/>
    <w:tmpl w:val="7F64A6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F813E7"/>
    <w:multiLevelType w:val="hybridMultilevel"/>
    <w:tmpl w:val="AFDC206C"/>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EE229B"/>
    <w:multiLevelType w:val="hybridMultilevel"/>
    <w:tmpl w:val="BBEE0AA4"/>
    <w:lvl w:ilvl="0" w:tplc="E8047B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737935"/>
    <w:multiLevelType w:val="hybridMultilevel"/>
    <w:tmpl w:val="5EB6DD4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29584227"/>
    <w:multiLevelType w:val="hybridMultilevel"/>
    <w:tmpl w:val="A2A4F4E8"/>
    <w:lvl w:ilvl="0" w:tplc="EC926212">
      <w:start w:val="1"/>
      <w:numFmt w:val="decimal"/>
      <w:lvlText w:val="%1."/>
      <w:lvlJc w:val="left"/>
      <w:pPr>
        <w:ind w:left="1407" w:hanging="84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8" w15:restartNumberingAfterBreak="0">
    <w:nsid w:val="33921C7A"/>
    <w:multiLevelType w:val="hybridMultilevel"/>
    <w:tmpl w:val="D1564A8A"/>
    <w:lvl w:ilvl="0" w:tplc="E8047BC8">
      <w:start w:val="1"/>
      <w:numFmt w:val="bullet"/>
      <w:lvlText w:val=""/>
      <w:lvlJc w:val="left"/>
      <w:pPr>
        <w:ind w:left="1070" w:hanging="71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005941"/>
    <w:multiLevelType w:val="hybridMultilevel"/>
    <w:tmpl w:val="9DCE4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A73627"/>
    <w:multiLevelType w:val="hybridMultilevel"/>
    <w:tmpl w:val="86002A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D0829FD"/>
    <w:multiLevelType w:val="hybridMultilevel"/>
    <w:tmpl w:val="FF6CA0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CD4BB0"/>
    <w:multiLevelType w:val="hybridMultilevel"/>
    <w:tmpl w:val="80502568"/>
    <w:lvl w:ilvl="0" w:tplc="0410000D">
      <w:start w:val="1"/>
      <w:numFmt w:val="bullet"/>
      <w:lvlText w:val=""/>
      <w:lvlJc w:val="left"/>
      <w:pPr>
        <w:ind w:left="720" w:hanging="360"/>
      </w:pPr>
      <w:rPr>
        <w:rFonts w:ascii="Wingdings" w:hAnsi="Wingdings" w:hint="default"/>
      </w:rPr>
    </w:lvl>
    <w:lvl w:ilvl="1" w:tplc="0410000F">
      <w:start w:val="1"/>
      <w:numFmt w:val="decimal"/>
      <w:lvlText w:val="%2."/>
      <w:lvlJc w:val="lef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B5477D"/>
    <w:multiLevelType w:val="hybridMultilevel"/>
    <w:tmpl w:val="7AACA7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651489"/>
    <w:multiLevelType w:val="hybridMultilevel"/>
    <w:tmpl w:val="06F2F4CA"/>
    <w:lvl w:ilvl="0" w:tplc="04100017">
      <w:start w:val="1"/>
      <w:numFmt w:val="lowerLetter"/>
      <w:lvlText w:val="%1)"/>
      <w:lvlJc w:val="left"/>
      <w:pPr>
        <w:ind w:left="1428" w:hanging="36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15" w15:restartNumberingAfterBreak="0">
    <w:nsid w:val="4B425625"/>
    <w:multiLevelType w:val="hybridMultilevel"/>
    <w:tmpl w:val="18863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EB2B9E"/>
    <w:multiLevelType w:val="hybridMultilevel"/>
    <w:tmpl w:val="29FA9E8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7" w15:restartNumberingAfterBreak="0">
    <w:nsid w:val="4FDF70E5"/>
    <w:multiLevelType w:val="hybridMultilevel"/>
    <w:tmpl w:val="AE489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5B111F"/>
    <w:multiLevelType w:val="hybridMultilevel"/>
    <w:tmpl w:val="B32AD8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AA4D81"/>
    <w:multiLevelType w:val="multilevel"/>
    <w:tmpl w:val="E2D229AE"/>
    <w:lvl w:ilvl="0">
      <w:start w:val="1"/>
      <w:numFmt w:val="decimal"/>
      <w:pStyle w:val="Titolo1"/>
      <w:lvlText w:val="%1"/>
      <w:lvlJc w:val="left"/>
      <w:pPr>
        <w:ind w:left="2134" w:hanging="432"/>
      </w:pPr>
    </w:lvl>
    <w:lvl w:ilvl="1">
      <w:start w:val="1"/>
      <w:numFmt w:val="decimal"/>
      <w:lvlText w:val="%1.%2"/>
      <w:lvlJc w:val="left"/>
      <w:pPr>
        <w:ind w:left="1427"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6DF46F40"/>
    <w:multiLevelType w:val="hybridMultilevel"/>
    <w:tmpl w:val="9132CA16"/>
    <w:lvl w:ilvl="0" w:tplc="0410000F">
      <w:start w:val="1"/>
      <w:numFmt w:val="decimal"/>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21" w15:restartNumberingAfterBreak="0">
    <w:nsid w:val="7BEC6F61"/>
    <w:multiLevelType w:val="hybridMultilevel"/>
    <w:tmpl w:val="3D58A60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7C6E586B"/>
    <w:multiLevelType w:val="hybridMultilevel"/>
    <w:tmpl w:val="3300FB26"/>
    <w:lvl w:ilvl="0" w:tplc="86CE3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0"/>
  </w:num>
  <w:num w:numId="3">
    <w:abstractNumId w:val="7"/>
  </w:num>
  <w:num w:numId="4">
    <w:abstractNumId w:val="14"/>
  </w:num>
  <w:num w:numId="5">
    <w:abstractNumId w:val="18"/>
  </w:num>
  <w:num w:numId="6">
    <w:abstractNumId w:val="9"/>
  </w:num>
  <w:num w:numId="7">
    <w:abstractNumId w:val="16"/>
  </w:num>
  <w:num w:numId="8">
    <w:abstractNumId w:val="15"/>
  </w:num>
  <w:num w:numId="9">
    <w:abstractNumId w:val="1"/>
  </w:num>
  <w:num w:numId="10">
    <w:abstractNumId w:val="8"/>
  </w:num>
  <w:num w:numId="11">
    <w:abstractNumId w:val="0"/>
  </w:num>
  <w:num w:numId="12">
    <w:abstractNumId w:val="19"/>
  </w:num>
  <w:num w:numId="13">
    <w:abstractNumId w:val="22"/>
  </w:num>
  <w:num w:numId="14">
    <w:abstractNumId w:val="11"/>
  </w:num>
  <w:num w:numId="15">
    <w:abstractNumId w:val="2"/>
  </w:num>
  <w:num w:numId="16">
    <w:abstractNumId w:val="4"/>
  </w:num>
  <w:num w:numId="17">
    <w:abstractNumId w:val="13"/>
  </w:num>
  <w:num w:numId="18">
    <w:abstractNumId w:val="5"/>
  </w:num>
  <w:num w:numId="19">
    <w:abstractNumId w:val="6"/>
  </w:num>
  <w:num w:numId="20">
    <w:abstractNumId w:val="21"/>
  </w:num>
  <w:num w:numId="21">
    <w:abstractNumId w:val="3"/>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4BD"/>
    <w:rsid w:val="000047DC"/>
    <w:rsid w:val="000051EA"/>
    <w:rsid w:val="00010151"/>
    <w:rsid w:val="00017C45"/>
    <w:rsid w:val="0002178D"/>
    <w:rsid w:val="000220DC"/>
    <w:rsid w:val="00025FA7"/>
    <w:rsid w:val="00026961"/>
    <w:rsid w:val="00045300"/>
    <w:rsid w:val="00047E8A"/>
    <w:rsid w:val="00053AC1"/>
    <w:rsid w:val="000545AB"/>
    <w:rsid w:val="0006044F"/>
    <w:rsid w:val="00072E5E"/>
    <w:rsid w:val="00077C20"/>
    <w:rsid w:val="00081314"/>
    <w:rsid w:val="000839E0"/>
    <w:rsid w:val="00083FBB"/>
    <w:rsid w:val="0008661F"/>
    <w:rsid w:val="00086E62"/>
    <w:rsid w:val="00090377"/>
    <w:rsid w:val="0009337C"/>
    <w:rsid w:val="00093781"/>
    <w:rsid w:val="000A1F40"/>
    <w:rsid w:val="000B7820"/>
    <w:rsid w:val="000C0B52"/>
    <w:rsid w:val="000C3C7A"/>
    <w:rsid w:val="000D6D33"/>
    <w:rsid w:val="000F12A8"/>
    <w:rsid w:val="000F204F"/>
    <w:rsid w:val="000F2078"/>
    <w:rsid w:val="000F3AD4"/>
    <w:rsid w:val="00100744"/>
    <w:rsid w:val="00104DDC"/>
    <w:rsid w:val="00106F5D"/>
    <w:rsid w:val="0012050C"/>
    <w:rsid w:val="00127F66"/>
    <w:rsid w:val="00130B2B"/>
    <w:rsid w:val="00131B43"/>
    <w:rsid w:val="00132978"/>
    <w:rsid w:val="0013764E"/>
    <w:rsid w:val="00141AFD"/>
    <w:rsid w:val="00142410"/>
    <w:rsid w:val="00143782"/>
    <w:rsid w:val="001450F9"/>
    <w:rsid w:val="00145AE5"/>
    <w:rsid w:val="00147D11"/>
    <w:rsid w:val="00152E3E"/>
    <w:rsid w:val="00156795"/>
    <w:rsid w:val="00171F77"/>
    <w:rsid w:val="001721DF"/>
    <w:rsid w:val="0017375A"/>
    <w:rsid w:val="001748B1"/>
    <w:rsid w:val="00175828"/>
    <w:rsid w:val="0018210C"/>
    <w:rsid w:val="00182472"/>
    <w:rsid w:val="00187E8B"/>
    <w:rsid w:val="00190474"/>
    <w:rsid w:val="001910FE"/>
    <w:rsid w:val="00191843"/>
    <w:rsid w:val="001925E2"/>
    <w:rsid w:val="00195960"/>
    <w:rsid w:val="001966E6"/>
    <w:rsid w:val="001A4A70"/>
    <w:rsid w:val="001A5307"/>
    <w:rsid w:val="001B1BC7"/>
    <w:rsid w:val="001B480F"/>
    <w:rsid w:val="001B75F2"/>
    <w:rsid w:val="001C04FD"/>
    <w:rsid w:val="001C4B88"/>
    <w:rsid w:val="001C6668"/>
    <w:rsid w:val="001D3E5D"/>
    <w:rsid w:val="001E2BBF"/>
    <w:rsid w:val="001E6CBE"/>
    <w:rsid w:val="001F6706"/>
    <w:rsid w:val="00202DBE"/>
    <w:rsid w:val="00206C62"/>
    <w:rsid w:val="00212A9A"/>
    <w:rsid w:val="00222194"/>
    <w:rsid w:val="002244A7"/>
    <w:rsid w:val="00224E74"/>
    <w:rsid w:val="00224FC2"/>
    <w:rsid w:val="002348E6"/>
    <w:rsid w:val="002370D3"/>
    <w:rsid w:val="002377E7"/>
    <w:rsid w:val="00241BC7"/>
    <w:rsid w:val="00243A1C"/>
    <w:rsid w:val="002445F7"/>
    <w:rsid w:val="00246BD3"/>
    <w:rsid w:val="00247EDB"/>
    <w:rsid w:val="00256A69"/>
    <w:rsid w:val="00257751"/>
    <w:rsid w:val="0026361E"/>
    <w:rsid w:val="002657B9"/>
    <w:rsid w:val="002706C4"/>
    <w:rsid w:val="00274AF5"/>
    <w:rsid w:val="002828B8"/>
    <w:rsid w:val="0028565A"/>
    <w:rsid w:val="00286A96"/>
    <w:rsid w:val="00286B48"/>
    <w:rsid w:val="00293171"/>
    <w:rsid w:val="00294AD0"/>
    <w:rsid w:val="00296FFE"/>
    <w:rsid w:val="002A0049"/>
    <w:rsid w:val="002A0EBB"/>
    <w:rsid w:val="002A2066"/>
    <w:rsid w:val="002A244A"/>
    <w:rsid w:val="002A5743"/>
    <w:rsid w:val="002B0943"/>
    <w:rsid w:val="002B0EF1"/>
    <w:rsid w:val="002B21A5"/>
    <w:rsid w:val="002B252E"/>
    <w:rsid w:val="002B35FC"/>
    <w:rsid w:val="002B494E"/>
    <w:rsid w:val="002B5BE2"/>
    <w:rsid w:val="002B6868"/>
    <w:rsid w:val="002C10F7"/>
    <w:rsid w:val="002C258D"/>
    <w:rsid w:val="002C2899"/>
    <w:rsid w:val="002C5B85"/>
    <w:rsid w:val="002C5CC6"/>
    <w:rsid w:val="002C6CA0"/>
    <w:rsid w:val="002D0052"/>
    <w:rsid w:val="002D331D"/>
    <w:rsid w:val="002E310C"/>
    <w:rsid w:val="002E3372"/>
    <w:rsid w:val="002F71B9"/>
    <w:rsid w:val="002F7FB2"/>
    <w:rsid w:val="0030064B"/>
    <w:rsid w:val="0030443F"/>
    <w:rsid w:val="003115B5"/>
    <w:rsid w:val="00313EF6"/>
    <w:rsid w:val="00316CD2"/>
    <w:rsid w:val="0033203B"/>
    <w:rsid w:val="00332473"/>
    <w:rsid w:val="0033252C"/>
    <w:rsid w:val="003349A0"/>
    <w:rsid w:val="00334BB1"/>
    <w:rsid w:val="00335177"/>
    <w:rsid w:val="00336BBA"/>
    <w:rsid w:val="003374AF"/>
    <w:rsid w:val="003375CD"/>
    <w:rsid w:val="00342CC6"/>
    <w:rsid w:val="0035342E"/>
    <w:rsid w:val="00355AA2"/>
    <w:rsid w:val="00355BA1"/>
    <w:rsid w:val="00356A17"/>
    <w:rsid w:val="00361BC2"/>
    <w:rsid w:val="0036323D"/>
    <w:rsid w:val="00363CD8"/>
    <w:rsid w:val="003714DA"/>
    <w:rsid w:val="00372938"/>
    <w:rsid w:val="00374AE1"/>
    <w:rsid w:val="00376438"/>
    <w:rsid w:val="0037755D"/>
    <w:rsid w:val="0038024C"/>
    <w:rsid w:val="003802A0"/>
    <w:rsid w:val="0038052F"/>
    <w:rsid w:val="003818E5"/>
    <w:rsid w:val="0038332F"/>
    <w:rsid w:val="00383796"/>
    <w:rsid w:val="0038410C"/>
    <w:rsid w:val="00391600"/>
    <w:rsid w:val="003950CC"/>
    <w:rsid w:val="003A15EB"/>
    <w:rsid w:val="003A308A"/>
    <w:rsid w:val="003A77AA"/>
    <w:rsid w:val="003B62AC"/>
    <w:rsid w:val="003B6FED"/>
    <w:rsid w:val="003B7D0C"/>
    <w:rsid w:val="003C229B"/>
    <w:rsid w:val="003C6FEC"/>
    <w:rsid w:val="003C72C8"/>
    <w:rsid w:val="003D02CD"/>
    <w:rsid w:val="003D265C"/>
    <w:rsid w:val="003D445D"/>
    <w:rsid w:val="003D58FD"/>
    <w:rsid w:val="003E0B5E"/>
    <w:rsid w:val="003E5174"/>
    <w:rsid w:val="003F06DE"/>
    <w:rsid w:val="003F1A10"/>
    <w:rsid w:val="003F2945"/>
    <w:rsid w:val="00402189"/>
    <w:rsid w:val="00402A6C"/>
    <w:rsid w:val="00403623"/>
    <w:rsid w:val="00404492"/>
    <w:rsid w:val="00411849"/>
    <w:rsid w:val="00412A0E"/>
    <w:rsid w:val="0041435F"/>
    <w:rsid w:val="00415CB9"/>
    <w:rsid w:val="00416FCC"/>
    <w:rsid w:val="00420511"/>
    <w:rsid w:val="004223FE"/>
    <w:rsid w:val="00424503"/>
    <w:rsid w:val="00425CC3"/>
    <w:rsid w:val="0043713D"/>
    <w:rsid w:val="004378C3"/>
    <w:rsid w:val="00441FCE"/>
    <w:rsid w:val="00445DBF"/>
    <w:rsid w:val="004513DA"/>
    <w:rsid w:val="004521FC"/>
    <w:rsid w:val="0045416F"/>
    <w:rsid w:val="0045476E"/>
    <w:rsid w:val="00457E24"/>
    <w:rsid w:val="00461B6B"/>
    <w:rsid w:val="00466473"/>
    <w:rsid w:val="0047131E"/>
    <w:rsid w:val="00474217"/>
    <w:rsid w:val="004904BD"/>
    <w:rsid w:val="00495418"/>
    <w:rsid w:val="004955CE"/>
    <w:rsid w:val="00495629"/>
    <w:rsid w:val="004A43E9"/>
    <w:rsid w:val="004B085F"/>
    <w:rsid w:val="004B711F"/>
    <w:rsid w:val="004C3A41"/>
    <w:rsid w:val="004C78D1"/>
    <w:rsid w:val="004C7A4E"/>
    <w:rsid w:val="004C7F4E"/>
    <w:rsid w:val="004D13C0"/>
    <w:rsid w:val="004D31C6"/>
    <w:rsid w:val="004D54EA"/>
    <w:rsid w:val="004E156B"/>
    <w:rsid w:val="004E65E7"/>
    <w:rsid w:val="004E7926"/>
    <w:rsid w:val="004F030D"/>
    <w:rsid w:val="004F07A3"/>
    <w:rsid w:val="004F11C4"/>
    <w:rsid w:val="004F12CE"/>
    <w:rsid w:val="004F492F"/>
    <w:rsid w:val="004F7D3F"/>
    <w:rsid w:val="005019E0"/>
    <w:rsid w:val="0050239A"/>
    <w:rsid w:val="0050447A"/>
    <w:rsid w:val="005073BB"/>
    <w:rsid w:val="0051260C"/>
    <w:rsid w:val="00517CBB"/>
    <w:rsid w:val="00523873"/>
    <w:rsid w:val="005251D1"/>
    <w:rsid w:val="00536F61"/>
    <w:rsid w:val="005401CD"/>
    <w:rsid w:val="00540467"/>
    <w:rsid w:val="00540C39"/>
    <w:rsid w:val="00553A76"/>
    <w:rsid w:val="005603D7"/>
    <w:rsid w:val="00560C1E"/>
    <w:rsid w:val="00562AAF"/>
    <w:rsid w:val="00563F1C"/>
    <w:rsid w:val="0056676A"/>
    <w:rsid w:val="005667AB"/>
    <w:rsid w:val="00570498"/>
    <w:rsid w:val="005745C0"/>
    <w:rsid w:val="005768F4"/>
    <w:rsid w:val="00581736"/>
    <w:rsid w:val="00583B47"/>
    <w:rsid w:val="00585AAE"/>
    <w:rsid w:val="0059049E"/>
    <w:rsid w:val="00590AA4"/>
    <w:rsid w:val="00594189"/>
    <w:rsid w:val="005957D7"/>
    <w:rsid w:val="005A0260"/>
    <w:rsid w:val="005A195E"/>
    <w:rsid w:val="005A69FE"/>
    <w:rsid w:val="005B77B0"/>
    <w:rsid w:val="005B7926"/>
    <w:rsid w:val="005C0F9E"/>
    <w:rsid w:val="005C3E0C"/>
    <w:rsid w:val="005C47AF"/>
    <w:rsid w:val="005D4E86"/>
    <w:rsid w:val="005D6066"/>
    <w:rsid w:val="005E1781"/>
    <w:rsid w:val="005E2060"/>
    <w:rsid w:val="005E27EE"/>
    <w:rsid w:val="005E37F5"/>
    <w:rsid w:val="005F17D2"/>
    <w:rsid w:val="005F3A87"/>
    <w:rsid w:val="005F5154"/>
    <w:rsid w:val="00604176"/>
    <w:rsid w:val="00610669"/>
    <w:rsid w:val="006153BE"/>
    <w:rsid w:val="00622A29"/>
    <w:rsid w:val="00622C65"/>
    <w:rsid w:val="00625468"/>
    <w:rsid w:val="00631F6C"/>
    <w:rsid w:val="00632043"/>
    <w:rsid w:val="00635BF0"/>
    <w:rsid w:val="00642712"/>
    <w:rsid w:val="006447E1"/>
    <w:rsid w:val="00645314"/>
    <w:rsid w:val="00646DE2"/>
    <w:rsid w:val="00653C8D"/>
    <w:rsid w:val="00655859"/>
    <w:rsid w:val="00661D6F"/>
    <w:rsid w:val="0066257F"/>
    <w:rsid w:val="00663A25"/>
    <w:rsid w:val="006734C3"/>
    <w:rsid w:val="006749EC"/>
    <w:rsid w:val="006777CF"/>
    <w:rsid w:val="006825B5"/>
    <w:rsid w:val="00685BBF"/>
    <w:rsid w:val="006A53C2"/>
    <w:rsid w:val="006B1336"/>
    <w:rsid w:val="006B243C"/>
    <w:rsid w:val="006B795B"/>
    <w:rsid w:val="006C4167"/>
    <w:rsid w:val="006C4D9B"/>
    <w:rsid w:val="006C65AD"/>
    <w:rsid w:val="006D0009"/>
    <w:rsid w:val="006D1E39"/>
    <w:rsid w:val="006D443E"/>
    <w:rsid w:val="006D5E1C"/>
    <w:rsid w:val="006D6CFC"/>
    <w:rsid w:val="006E0D69"/>
    <w:rsid w:val="006E37EC"/>
    <w:rsid w:val="006E4D00"/>
    <w:rsid w:val="006F039E"/>
    <w:rsid w:val="006F62F9"/>
    <w:rsid w:val="00701934"/>
    <w:rsid w:val="00702A29"/>
    <w:rsid w:val="00705F2A"/>
    <w:rsid w:val="007127E6"/>
    <w:rsid w:val="0072081A"/>
    <w:rsid w:val="00720CB5"/>
    <w:rsid w:val="00722546"/>
    <w:rsid w:val="007230BF"/>
    <w:rsid w:val="00726DA5"/>
    <w:rsid w:val="00731590"/>
    <w:rsid w:val="007316EA"/>
    <w:rsid w:val="00731B54"/>
    <w:rsid w:val="00732F08"/>
    <w:rsid w:val="00732FC6"/>
    <w:rsid w:val="00737375"/>
    <w:rsid w:val="00742131"/>
    <w:rsid w:val="00744A06"/>
    <w:rsid w:val="00746084"/>
    <w:rsid w:val="0074711D"/>
    <w:rsid w:val="0074778F"/>
    <w:rsid w:val="007501BA"/>
    <w:rsid w:val="007520F5"/>
    <w:rsid w:val="00752729"/>
    <w:rsid w:val="00757806"/>
    <w:rsid w:val="007607D8"/>
    <w:rsid w:val="00762405"/>
    <w:rsid w:val="00766507"/>
    <w:rsid w:val="00766916"/>
    <w:rsid w:val="00766C4D"/>
    <w:rsid w:val="00767061"/>
    <w:rsid w:val="00772698"/>
    <w:rsid w:val="0077353A"/>
    <w:rsid w:val="00773D1E"/>
    <w:rsid w:val="00774369"/>
    <w:rsid w:val="0077501D"/>
    <w:rsid w:val="007765BC"/>
    <w:rsid w:val="00781AC3"/>
    <w:rsid w:val="0078545F"/>
    <w:rsid w:val="00785D06"/>
    <w:rsid w:val="00787BE5"/>
    <w:rsid w:val="00797BBC"/>
    <w:rsid w:val="007A0063"/>
    <w:rsid w:val="007A097F"/>
    <w:rsid w:val="007A277A"/>
    <w:rsid w:val="007A2F6D"/>
    <w:rsid w:val="007A463A"/>
    <w:rsid w:val="007A60EB"/>
    <w:rsid w:val="007A7954"/>
    <w:rsid w:val="007B5F55"/>
    <w:rsid w:val="007D03C4"/>
    <w:rsid w:val="007D3551"/>
    <w:rsid w:val="007D410A"/>
    <w:rsid w:val="007D4CF0"/>
    <w:rsid w:val="007D77F0"/>
    <w:rsid w:val="007E0244"/>
    <w:rsid w:val="007E3786"/>
    <w:rsid w:val="007E4D43"/>
    <w:rsid w:val="007E5F50"/>
    <w:rsid w:val="007E730F"/>
    <w:rsid w:val="007F0DD1"/>
    <w:rsid w:val="007F10DA"/>
    <w:rsid w:val="007F2FAF"/>
    <w:rsid w:val="007F3525"/>
    <w:rsid w:val="007F3FC3"/>
    <w:rsid w:val="007F51AD"/>
    <w:rsid w:val="008009B8"/>
    <w:rsid w:val="00807003"/>
    <w:rsid w:val="008071BF"/>
    <w:rsid w:val="00810A7A"/>
    <w:rsid w:val="00810D87"/>
    <w:rsid w:val="00811620"/>
    <w:rsid w:val="00811F61"/>
    <w:rsid w:val="0081469A"/>
    <w:rsid w:val="00817945"/>
    <w:rsid w:val="00821FCB"/>
    <w:rsid w:val="0082298E"/>
    <w:rsid w:val="00823587"/>
    <w:rsid w:val="00824627"/>
    <w:rsid w:val="00830668"/>
    <w:rsid w:val="008322FC"/>
    <w:rsid w:val="008342C7"/>
    <w:rsid w:val="00834F08"/>
    <w:rsid w:val="00843561"/>
    <w:rsid w:val="00846BEA"/>
    <w:rsid w:val="008473FA"/>
    <w:rsid w:val="0085300B"/>
    <w:rsid w:val="008566CB"/>
    <w:rsid w:val="00866C8A"/>
    <w:rsid w:val="00867305"/>
    <w:rsid w:val="008724F6"/>
    <w:rsid w:val="00872ED3"/>
    <w:rsid w:val="00874848"/>
    <w:rsid w:val="00874A80"/>
    <w:rsid w:val="00882D27"/>
    <w:rsid w:val="00883907"/>
    <w:rsid w:val="00886DCC"/>
    <w:rsid w:val="00895F35"/>
    <w:rsid w:val="008979E4"/>
    <w:rsid w:val="008A0670"/>
    <w:rsid w:val="008A79CF"/>
    <w:rsid w:val="008B23BA"/>
    <w:rsid w:val="008B35CB"/>
    <w:rsid w:val="008B64B6"/>
    <w:rsid w:val="008B7FF5"/>
    <w:rsid w:val="008C38DE"/>
    <w:rsid w:val="008C5146"/>
    <w:rsid w:val="008C75DE"/>
    <w:rsid w:val="008D072E"/>
    <w:rsid w:val="008D0813"/>
    <w:rsid w:val="008D1CC5"/>
    <w:rsid w:val="008D7077"/>
    <w:rsid w:val="008E3489"/>
    <w:rsid w:val="008E3AAB"/>
    <w:rsid w:val="008E4B19"/>
    <w:rsid w:val="008E65C5"/>
    <w:rsid w:val="008F1B8A"/>
    <w:rsid w:val="008F5027"/>
    <w:rsid w:val="008F58AF"/>
    <w:rsid w:val="008F5934"/>
    <w:rsid w:val="008F5C87"/>
    <w:rsid w:val="008F5DE1"/>
    <w:rsid w:val="008F72B9"/>
    <w:rsid w:val="008F7EC3"/>
    <w:rsid w:val="0090583B"/>
    <w:rsid w:val="00905DF3"/>
    <w:rsid w:val="009064E6"/>
    <w:rsid w:val="00907905"/>
    <w:rsid w:val="009160E1"/>
    <w:rsid w:val="00917B1A"/>
    <w:rsid w:val="009219D0"/>
    <w:rsid w:val="00924884"/>
    <w:rsid w:val="00926238"/>
    <w:rsid w:val="00926A4D"/>
    <w:rsid w:val="0092704F"/>
    <w:rsid w:val="0093195B"/>
    <w:rsid w:val="00936D0A"/>
    <w:rsid w:val="009371C0"/>
    <w:rsid w:val="00940511"/>
    <w:rsid w:val="0094420E"/>
    <w:rsid w:val="009479F8"/>
    <w:rsid w:val="00950454"/>
    <w:rsid w:val="00955A49"/>
    <w:rsid w:val="00956FCC"/>
    <w:rsid w:val="00961A4C"/>
    <w:rsid w:val="00964796"/>
    <w:rsid w:val="009666A4"/>
    <w:rsid w:val="009676CF"/>
    <w:rsid w:val="009701E5"/>
    <w:rsid w:val="0097375D"/>
    <w:rsid w:val="00975A07"/>
    <w:rsid w:val="00975D2A"/>
    <w:rsid w:val="009807AD"/>
    <w:rsid w:val="00981E2D"/>
    <w:rsid w:val="00983569"/>
    <w:rsid w:val="00986F10"/>
    <w:rsid w:val="00996F67"/>
    <w:rsid w:val="009A026C"/>
    <w:rsid w:val="009A59E3"/>
    <w:rsid w:val="009A60E1"/>
    <w:rsid w:val="009A637A"/>
    <w:rsid w:val="009B2DE9"/>
    <w:rsid w:val="009B32F4"/>
    <w:rsid w:val="009B37F7"/>
    <w:rsid w:val="009B3989"/>
    <w:rsid w:val="009B6EF9"/>
    <w:rsid w:val="009C679A"/>
    <w:rsid w:val="009C6A5E"/>
    <w:rsid w:val="009D0644"/>
    <w:rsid w:val="009D10D3"/>
    <w:rsid w:val="009D3234"/>
    <w:rsid w:val="009D42AE"/>
    <w:rsid w:val="009D5CF0"/>
    <w:rsid w:val="009E2C1A"/>
    <w:rsid w:val="009E76BC"/>
    <w:rsid w:val="009F3136"/>
    <w:rsid w:val="009F4AF0"/>
    <w:rsid w:val="009F696B"/>
    <w:rsid w:val="00A01CF0"/>
    <w:rsid w:val="00A05B22"/>
    <w:rsid w:val="00A06B41"/>
    <w:rsid w:val="00A07117"/>
    <w:rsid w:val="00A07569"/>
    <w:rsid w:val="00A100B0"/>
    <w:rsid w:val="00A131BD"/>
    <w:rsid w:val="00A215A6"/>
    <w:rsid w:val="00A23149"/>
    <w:rsid w:val="00A25AE4"/>
    <w:rsid w:val="00A27D92"/>
    <w:rsid w:val="00A300B4"/>
    <w:rsid w:val="00A30D82"/>
    <w:rsid w:val="00A336B8"/>
    <w:rsid w:val="00A3543F"/>
    <w:rsid w:val="00A40D69"/>
    <w:rsid w:val="00A423E5"/>
    <w:rsid w:val="00A45572"/>
    <w:rsid w:val="00A468E1"/>
    <w:rsid w:val="00A47578"/>
    <w:rsid w:val="00A50C64"/>
    <w:rsid w:val="00A5275C"/>
    <w:rsid w:val="00A52832"/>
    <w:rsid w:val="00A53312"/>
    <w:rsid w:val="00A542D7"/>
    <w:rsid w:val="00A55045"/>
    <w:rsid w:val="00A60978"/>
    <w:rsid w:val="00A61353"/>
    <w:rsid w:val="00A64818"/>
    <w:rsid w:val="00A65761"/>
    <w:rsid w:val="00A65AEC"/>
    <w:rsid w:val="00A65D62"/>
    <w:rsid w:val="00A7026B"/>
    <w:rsid w:val="00A769DF"/>
    <w:rsid w:val="00A83468"/>
    <w:rsid w:val="00A874C5"/>
    <w:rsid w:val="00A87D1B"/>
    <w:rsid w:val="00A93E38"/>
    <w:rsid w:val="00A97F1C"/>
    <w:rsid w:val="00AA0D17"/>
    <w:rsid w:val="00AA4D18"/>
    <w:rsid w:val="00AA55D5"/>
    <w:rsid w:val="00AA5708"/>
    <w:rsid w:val="00AA7961"/>
    <w:rsid w:val="00AB07F0"/>
    <w:rsid w:val="00AB088A"/>
    <w:rsid w:val="00AB2149"/>
    <w:rsid w:val="00AB2CA7"/>
    <w:rsid w:val="00AB6D53"/>
    <w:rsid w:val="00AB70A9"/>
    <w:rsid w:val="00AC0825"/>
    <w:rsid w:val="00AC2FA4"/>
    <w:rsid w:val="00AC6C86"/>
    <w:rsid w:val="00AC7D81"/>
    <w:rsid w:val="00AD6924"/>
    <w:rsid w:val="00AE2BF3"/>
    <w:rsid w:val="00AE47A1"/>
    <w:rsid w:val="00AE53D7"/>
    <w:rsid w:val="00AE6DC7"/>
    <w:rsid w:val="00AF0983"/>
    <w:rsid w:val="00AF2E71"/>
    <w:rsid w:val="00AF544C"/>
    <w:rsid w:val="00AF7C3E"/>
    <w:rsid w:val="00B00E8D"/>
    <w:rsid w:val="00B04AF9"/>
    <w:rsid w:val="00B05237"/>
    <w:rsid w:val="00B0681F"/>
    <w:rsid w:val="00B0728F"/>
    <w:rsid w:val="00B0738E"/>
    <w:rsid w:val="00B108C6"/>
    <w:rsid w:val="00B11D1E"/>
    <w:rsid w:val="00B1383F"/>
    <w:rsid w:val="00B13D5B"/>
    <w:rsid w:val="00B14AB9"/>
    <w:rsid w:val="00B167CC"/>
    <w:rsid w:val="00B176E2"/>
    <w:rsid w:val="00B2008A"/>
    <w:rsid w:val="00B2070F"/>
    <w:rsid w:val="00B3035F"/>
    <w:rsid w:val="00B308BE"/>
    <w:rsid w:val="00B32C35"/>
    <w:rsid w:val="00B339CD"/>
    <w:rsid w:val="00B35724"/>
    <w:rsid w:val="00B4001F"/>
    <w:rsid w:val="00B41BFC"/>
    <w:rsid w:val="00B427FF"/>
    <w:rsid w:val="00B45194"/>
    <w:rsid w:val="00B521E2"/>
    <w:rsid w:val="00B52BEE"/>
    <w:rsid w:val="00B54CA1"/>
    <w:rsid w:val="00B67FC5"/>
    <w:rsid w:val="00B71105"/>
    <w:rsid w:val="00B77C5C"/>
    <w:rsid w:val="00B81EAE"/>
    <w:rsid w:val="00B828B6"/>
    <w:rsid w:val="00B82E73"/>
    <w:rsid w:val="00B874EC"/>
    <w:rsid w:val="00B87A35"/>
    <w:rsid w:val="00B9031A"/>
    <w:rsid w:val="00B92984"/>
    <w:rsid w:val="00B9355D"/>
    <w:rsid w:val="00B94A1A"/>
    <w:rsid w:val="00BA2311"/>
    <w:rsid w:val="00BA34C7"/>
    <w:rsid w:val="00BA6BA8"/>
    <w:rsid w:val="00BB05F5"/>
    <w:rsid w:val="00BB4383"/>
    <w:rsid w:val="00BB4F92"/>
    <w:rsid w:val="00BB5F54"/>
    <w:rsid w:val="00BC62CF"/>
    <w:rsid w:val="00BD3054"/>
    <w:rsid w:val="00BD37C7"/>
    <w:rsid w:val="00BF6492"/>
    <w:rsid w:val="00C0031C"/>
    <w:rsid w:val="00C04676"/>
    <w:rsid w:val="00C06080"/>
    <w:rsid w:val="00C146FC"/>
    <w:rsid w:val="00C14C06"/>
    <w:rsid w:val="00C16DFA"/>
    <w:rsid w:val="00C202C5"/>
    <w:rsid w:val="00C20664"/>
    <w:rsid w:val="00C2198E"/>
    <w:rsid w:val="00C2212C"/>
    <w:rsid w:val="00C25220"/>
    <w:rsid w:val="00C25DAD"/>
    <w:rsid w:val="00C30AB8"/>
    <w:rsid w:val="00C34E91"/>
    <w:rsid w:val="00C37963"/>
    <w:rsid w:val="00C3796E"/>
    <w:rsid w:val="00C40655"/>
    <w:rsid w:val="00C4244C"/>
    <w:rsid w:val="00C42851"/>
    <w:rsid w:val="00C42B6F"/>
    <w:rsid w:val="00C43A87"/>
    <w:rsid w:val="00C4449E"/>
    <w:rsid w:val="00C50043"/>
    <w:rsid w:val="00C53050"/>
    <w:rsid w:val="00C54201"/>
    <w:rsid w:val="00C609DB"/>
    <w:rsid w:val="00C6540B"/>
    <w:rsid w:val="00C65E47"/>
    <w:rsid w:val="00C65F71"/>
    <w:rsid w:val="00C740C4"/>
    <w:rsid w:val="00C74EA9"/>
    <w:rsid w:val="00C757B6"/>
    <w:rsid w:val="00C7636D"/>
    <w:rsid w:val="00C81420"/>
    <w:rsid w:val="00C83E09"/>
    <w:rsid w:val="00C85D1A"/>
    <w:rsid w:val="00C85FB7"/>
    <w:rsid w:val="00C91098"/>
    <w:rsid w:val="00CA1CE7"/>
    <w:rsid w:val="00CA1CF4"/>
    <w:rsid w:val="00CA3DCD"/>
    <w:rsid w:val="00CA68F0"/>
    <w:rsid w:val="00CA6F96"/>
    <w:rsid w:val="00CB419E"/>
    <w:rsid w:val="00CB7CD9"/>
    <w:rsid w:val="00CC093E"/>
    <w:rsid w:val="00CC0C8D"/>
    <w:rsid w:val="00CC5E68"/>
    <w:rsid w:val="00CD2890"/>
    <w:rsid w:val="00CD3464"/>
    <w:rsid w:val="00CE28FE"/>
    <w:rsid w:val="00CE2EEE"/>
    <w:rsid w:val="00CE4EE7"/>
    <w:rsid w:val="00CE65D1"/>
    <w:rsid w:val="00CE71D0"/>
    <w:rsid w:val="00CF18A6"/>
    <w:rsid w:val="00CF3A4B"/>
    <w:rsid w:val="00CF699E"/>
    <w:rsid w:val="00CF6A97"/>
    <w:rsid w:val="00CF71ED"/>
    <w:rsid w:val="00D020CE"/>
    <w:rsid w:val="00D0458F"/>
    <w:rsid w:val="00D047CC"/>
    <w:rsid w:val="00D04FC2"/>
    <w:rsid w:val="00D0769F"/>
    <w:rsid w:val="00D10BEF"/>
    <w:rsid w:val="00D14CD5"/>
    <w:rsid w:val="00D176FD"/>
    <w:rsid w:val="00D20076"/>
    <w:rsid w:val="00D21F81"/>
    <w:rsid w:val="00D23B2B"/>
    <w:rsid w:val="00D24922"/>
    <w:rsid w:val="00D271BD"/>
    <w:rsid w:val="00D3024A"/>
    <w:rsid w:val="00D30C5E"/>
    <w:rsid w:val="00D31D9D"/>
    <w:rsid w:val="00D42D6A"/>
    <w:rsid w:val="00D4362F"/>
    <w:rsid w:val="00D46373"/>
    <w:rsid w:val="00D46821"/>
    <w:rsid w:val="00D513B3"/>
    <w:rsid w:val="00D53E00"/>
    <w:rsid w:val="00D55001"/>
    <w:rsid w:val="00D6500E"/>
    <w:rsid w:val="00D6547C"/>
    <w:rsid w:val="00D66F32"/>
    <w:rsid w:val="00D67E8F"/>
    <w:rsid w:val="00D745DA"/>
    <w:rsid w:val="00D75AB9"/>
    <w:rsid w:val="00D77D1F"/>
    <w:rsid w:val="00D81E25"/>
    <w:rsid w:val="00D857D2"/>
    <w:rsid w:val="00D923D1"/>
    <w:rsid w:val="00D929B8"/>
    <w:rsid w:val="00D939E6"/>
    <w:rsid w:val="00D96383"/>
    <w:rsid w:val="00DA020B"/>
    <w:rsid w:val="00DA5F21"/>
    <w:rsid w:val="00DB1F16"/>
    <w:rsid w:val="00DB70DC"/>
    <w:rsid w:val="00DC040B"/>
    <w:rsid w:val="00DC4554"/>
    <w:rsid w:val="00DD2A07"/>
    <w:rsid w:val="00DD3E9F"/>
    <w:rsid w:val="00DE273F"/>
    <w:rsid w:val="00DE7AB6"/>
    <w:rsid w:val="00DF1942"/>
    <w:rsid w:val="00DF2C0C"/>
    <w:rsid w:val="00DF3E0B"/>
    <w:rsid w:val="00DF617A"/>
    <w:rsid w:val="00DF6E8D"/>
    <w:rsid w:val="00DF74FF"/>
    <w:rsid w:val="00E038A4"/>
    <w:rsid w:val="00E07F53"/>
    <w:rsid w:val="00E10725"/>
    <w:rsid w:val="00E11952"/>
    <w:rsid w:val="00E1278F"/>
    <w:rsid w:val="00E1288D"/>
    <w:rsid w:val="00E12EC1"/>
    <w:rsid w:val="00E13045"/>
    <w:rsid w:val="00E1359F"/>
    <w:rsid w:val="00E14C43"/>
    <w:rsid w:val="00E16AAD"/>
    <w:rsid w:val="00E17E14"/>
    <w:rsid w:val="00E27EC9"/>
    <w:rsid w:val="00E325BC"/>
    <w:rsid w:val="00E35043"/>
    <w:rsid w:val="00E43B7B"/>
    <w:rsid w:val="00E45D44"/>
    <w:rsid w:val="00E51FEF"/>
    <w:rsid w:val="00E52023"/>
    <w:rsid w:val="00E53F24"/>
    <w:rsid w:val="00E5567A"/>
    <w:rsid w:val="00E67555"/>
    <w:rsid w:val="00E6782C"/>
    <w:rsid w:val="00E67DC3"/>
    <w:rsid w:val="00E67F2A"/>
    <w:rsid w:val="00E701B6"/>
    <w:rsid w:val="00E704F0"/>
    <w:rsid w:val="00E75724"/>
    <w:rsid w:val="00E76831"/>
    <w:rsid w:val="00E811BB"/>
    <w:rsid w:val="00E81652"/>
    <w:rsid w:val="00E90728"/>
    <w:rsid w:val="00E9165E"/>
    <w:rsid w:val="00E91810"/>
    <w:rsid w:val="00E92558"/>
    <w:rsid w:val="00E92C44"/>
    <w:rsid w:val="00E95E4D"/>
    <w:rsid w:val="00EA0E22"/>
    <w:rsid w:val="00EA5958"/>
    <w:rsid w:val="00EA63D9"/>
    <w:rsid w:val="00EA673D"/>
    <w:rsid w:val="00EB12C1"/>
    <w:rsid w:val="00EB3C6F"/>
    <w:rsid w:val="00EB6A7F"/>
    <w:rsid w:val="00EB7B89"/>
    <w:rsid w:val="00EC1112"/>
    <w:rsid w:val="00EC12A3"/>
    <w:rsid w:val="00EC63E3"/>
    <w:rsid w:val="00ED274B"/>
    <w:rsid w:val="00ED7240"/>
    <w:rsid w:val="00EE1039"/>
    <w:rsid w:val="00EF0B38"/>
    <w:rsid w:val="00EF19C0"/>
    <w:rsid w:val="00EF5022"/>
    <w:rsid w:val="00EF6ED2"/>
    <w:rsid w:val="00F00D50"/>
    <w:rsid w:val="00F02300"/>
    <w:rsid w:val="00F05060"/>
    <w:rsid w:val="00F100F9"/>
    <w:rsid w:val="00F115B9"/>
    <w:rsid w:val="00F12DB9"/>
    <w:rsid w:val="00F1599D"/>
    <w:rsid w:val="00F21090"/>
    <w:rsid w:val="00F2151C"/>
    <w:rsid w:val="00F231F5"/>
    <w:rsid w:val="00F2615F"/>
    <w:rsid w:val="00F26CCD"/>
    <w:rsid w:val="00F27021"/>
    <w:rsid w:val="00F31373"/>
    <w:rsid w:val="00F321E0"/>
    <w:rsid w:val="00F35531"/>
    <w:rsid w:val="00F412EF"/>
    <w:rsid w:val="00F464DE"/>
    <w:rsid w:val="00F47DAC"/>
    <w:rsid w:val="00F52F07"/>
    <w:rsid w:val="00F53FAD"/>
    <w:rsid w:val="00F552D4"/>
    <w:rsid w:val="00F60261"/>
    <w:rsid w:val="00F63B95"/>
    <w:rsid w:val="00F7499E"/>
    <w:rsid w:val="00F74CC9"/>
    <w:rsid w:val="00F74DC6"/>
    <w:rsid w:val="00F752FD"/>
    <w:rsid w:val="00F756D8"/>
    <w:rsid w:val="00F7679B"/>
    <w:rsid w:val="00F82234"/>
    <w:rsid w:val="00F822A4"/>
    <w:rsid w:val="00F82877"/>
    <w:rsid w:val="00F8594C"/>
    <w:rsid w:val="00F940A2"/>
    <w:rsid w:val="00F94431"/>
    <w:rsid w:val="00F948DF"/>
    <w:rsid w:val="00FA0B97"/>
    <w:rsid w:val="00FA66C4"/>
    <w:rsid w:val="00FB0F62"/>
    <w:rsid w:val="00FB240E"/>
    <w:rsid w:val="00FB4E23"/>
    <w:rsid w:val="00FC78BE"/>
    <w:rsid w:val="00FD1C86"/>
    <w:rsid w:val="00FD2F4F"/>
    <w:rsid w:val="00FD398C"/>
    <w:rsid w:val="00FD506E"/>
    <w:rsid w:val="00FD50A9"/>
    <w:rsid w:val="00FD5FCF"/>
    <w:rsid w:val="00FD6197"/>
    <w:rsid w:val="00FE0CD6"/>
    <w:rsid w:val="00FE51F6"/>
    <w:rsid w:val="00FF27BB"/>
    <w:rsid w:val="00FF4706"/>
    <w:rsid w:val="00FF7056"/>
    <w:rsid w:val="00FF7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790CB"/>
  <w15:docId w15:val="{0CE0148B-2E8B-45D2-BE7F-52707E97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28F"/>
    <w:pPr>
      <w:spacing w:after="200" w:line="276" w:lineRule="auto"/>
    </w:pPr>
    <w:rPr>
      <w:rFonts w:ascii="Times New Roman" w:hAnsi="Times New Roman"/>
      <w:sz w:val="24"/>
      <w:lang w:eastAsia="en-US"/>
    </w:rPr>
  </w:style>
  <w:style w:type="paragraph" w:styleId="Titolo1">
    <w:name w:val="heading 1"/>
    <w:basedOn w:val="Normale"/>
    <w:next w:val="Normale"/>
    <w:link w:val="Titolo1Carattere"/>
    <w:uiPriority w:val="9"/>
    <w:qFormat/>
    <w:locked/>
    <w:rsid w:val="00B0728F"/>
    <w:pPr>
      <w:keepNext/>
      <w:keepLines/>
      <w:numPr>
        <w:numId w:val="12"/>
      </w:numPr>
      <w:spacing w:before="240" w:after="0" w:line="259" w:lineRule="auto"/>
      <w:ind w:left="567" w:hanging="567"/>
      <w:jc w:val="both"/>
      <w:outlineLvl w:val="0"/>
    </w:pPr>
    <w:rPr>
      <w:rFonts w:eastAsia="Times New Roman"/>
      <w:b/>
      <w:sz w:val="40"/>
      <w:szCs w:val="32"/>
    </w:rPr>
  </w:style>
  <w:style w:type="paragraph" w:styleId="Titolo2">
    <w:name w:val="heading 2"/>
    <w:basedOn w:val="Normale"/>
    <w:next w:val="Normale"/>
    <w:link w:val="Titolo2Carattere"/>
    <w:unhideWhenUsed/>
    <w:qFormat/>
    <w:locked/>
    <w:rsid w:val="00B0728F"/>
    <w:pPr>
      <w:keepNext/>
      <w:keepLines/>
      <w:spacing w:before="120" w:after="120" w:line="259" w:lineRule="auto"/>
      <w:jc w:val="both"/>
      <w:outlineLvl w:val="1"/>
    </w:pPr>
    <w:rPr>
      <w:rFonts w:eastAsia="Times New Roman"/>
      <w:b/>
      <w:sz w:val="28"/>
      <w:szCs w:val="26"/>
    </w:rPr>
  </w:style>
  <w:style w:type="paragraph" w:styleId="Titolo3">
    <w:name w:val="heading 3"/>
    <w:basedOn w:val="Normale"/>
    <w:next w:val="Normale"/>
    <w:link w:val="Titolo3Carattere"/>
    <w:unhideWhenUsed/>
    <w:qFormat/>
    <w:locked/>
    <w:rsid w:val="00B0728F"/>
    <w:pPr>
      <w:keepNext/>
      <w:keepLines/>
      <w:numPr>
        <w:ilvl w:val="2"/>
        <w:numId w:val="12"/>
      </w:numPr>
      <w:spacing w:before="120" w:after="120" w:line="259" w:lineRule="auto"/>
      <w:ind w:left="567" w:hanging="567"/>
      <w:jc w:val="both"/>
      <w:outlineLvl w:val="2"/>
    </w:pPr>
    <w:rPr>
      <w:rFonts w:eastAsia="Times New Roman"/>
      <w:b/>
      <w:szCs w:val="24"/>
    </w:rPr>
  </w:style>
  <w:style w:type="paragraph" w:styleId="Titolo6">
    <w:name w:val="heading 6"/>
    <w:basedOn w:val="Normale"/>
    <w:next w:val="Normale"/>
    <w:link w:val="Titolo6Carattere"/>
    <w:uiPriority w:val="9"/>
    <w:semiHidden/>
    <w:unhideWhenUsed/>
    <w:qFormat/>
    <w:locked/>
    <w:rsid w:val="00B0728F"/>
    <w:pPr>
      <w:keepNext/>
      <w:keepLines/>
      <w:numPr>
        <w:ilvl w:val="5"/>
        <w:numId w:val="12"/>
      </w:numPr>
      <w:spacing w:before="40" w:after="0" w:line="259" w:lineRule="auto"/>
      <w:jc w:val="both"/>
      <w:outlineLvl w:val="5"/>
    </w:pPr>
    <w:rPr>
      <w:rFonts w:ascii="Cambria" w:eastAsia="Times New Roman" w:hAnsi="Cambria"/>
      <w:color w:val="243F60"/>
    </w:rPr>
  </w:style>
  <w:style w:type="paragraph" w:styleId="Titolo7">
    <w:name w:val="heading 7"/>
    <w:basedOn w:val="Normale"/>
    <w:next w:val="Normale"/>
    <w:link w:val="Titolo7Carattere"/>
    <w:uiPriority w:val="9"/>
    <w:semiHidden/>
    <w:unhideWhenUsed/>
    <w:qFormat/>
    <w:locked/>
    <w:rsid w:val="00B0728F"/>
    <w:pPr>
      <w:keepNext/>
      <w:keepLines/>
      <w:numPr>
        <w:ilvl w:val="6"/>
        <w:numId w:val="12"/>
      </w:numPr>
      <w:spacing w:before="40" w:after="0" w:line="259" w:lineRule="auto"/>
      <w:jc w:val="both"/>
      <w:outlineLvl w:val="6"/>
    </w:pPr>
    <w:rPr>
      <w:rFonts w:ascii="Cambria" w:eastAsia="Times New Roman" w:hAnsi="Cambria"/>
      <w:i/>
      <w:iCs/>
      <w:color w:val="243F60"/>
    </w:rPr>
  </w:style>
  <w:style w:type="paragraph" w:styleId="Titolo8">
    <w:name w:val="heading 8"/>
    <w:basedOn w:val="Normale"/>
    <w:next w:val="Normale"/>
    <w:link w:val="Titolo8Carattere"/>
    <w:uiPriority w:val="9"/>
    <w:semiHidden/>
    <w:unhideWhenUsed/>
    <w:qFormat/>
    <w:locked/>
    <w:rsid w:val="00B0728F"/>
    <w:pPr>
      <w:keepNext/>
      <w:keepLines/>
      <w:numPr>
        <w:ilvl w:val="7"/>
        <w:numId w:val="12"/>
      </w:numPr>
      <w:spacing w:before="40" w:after="0" w:line="259" w:lineRule="auto"/>
      <w:jc w:val="both"/>
      <w:outlineLvl w:val="7"/>
    </w:pPr>
    <w:rPr>
      <w:rFonts w:ascii="Cambria" w:eastAsia="Times New Roman" w:hAnsi="Cambria"/>
      <w:color w:val="272727"/>
      <w:sz w:val="21"/>
      <w:szCs w:val="21"/>
    </w:rPr>
  </w:style>
  <w:style w:type="paragraph" w:styleId="Titolo9">
    <w:name w:val="heading 9"/>
    <w:basedOn w:val="Normale"/>
    <w:next w:val="Normale"/>
    <w:link w:val="Titolo9Carattere"/>
    <w:uiPriority w:val="9"/>
    <w:semiHidden/>
    <w:unhideWhenUsed/>
    <w:qFormat/>
    <w:locked/>
    <w:rsid w:val="00B0728F"/>
    <w:pPr>
      <w:keepNext/>
      <w:keepLines/>
      <w:numPr>
        <w:ilvl w:val="8"/>
        <w:numId w:val="12"/>
      </w:numPr>
      <w:spacing w:before="40" w:after="0" w:line="259" w:lineRule="auto"/>
      <w:jc w:val="both"/>
      <w:outlineLvl w:val="8"/>
    </w:pPr>
    <w:rPr>
      <w:rFonts w:ascii="Cambria" w:eastAsia="Times New Roman" w:hAnsi="Cambria"/>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46084"/>
    <w:pPr>
      <w:ind w:left="720"/>
      <w:contextualSpacing/>
    </w:pPr>
  </w:style>
  <w:style w:type="paragraph" w:styleId="Testofumetto">
    <w:name w:val="Balloon Text"/>
    <w:basedOn w:val="Normale"/>
    <w:link w:val="TestofumettoCarattere"/>
    <w:uiPriority w:val="99"/>
    <w:semiHidden/>
    <w:rsid w:val="008D1C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D1CC5"/>
    <w:rPr>
      <w:rFonts w:ascii="Tahoma" w:hAnsi="Tahoma" w:cs="Tahoma"/>
      <w:sz w:val="16"/>
      <w:szCs w:val="16"/>
    </w:rPr>
  </w:style>
  <w:style w:type="table" w:styleId="Grigliatabella">
    <w:name w:val="Table Grid"/>
    <w:basedOn w:val="Tabellanormale"/>
    <w:uiPriority w:val="99"/>
    <w:rsid w:val="004E79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936D0A"/>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eastAsia="en-US"/>
    </w:rPr>
  </w:style>
  <w:style w:type="character" w:styleId="Numeropagina">
    <w:name w:val="page number"/>
    <w:basedOn w:val="Carpredefinitoparagrafo"/>
    <w:uiPriority w:val="99"/>
    <w:rsid w:val="00936D0A"/>
    <w:rPr>
      <w:rFonts w:cs="Times New Roman"/>
    </w:rPr>
  </w:style>
  <w:style w:type="paragraph" w:styleId="Intestazione">
    <w:name w:val="header"/>
    <w:basedOn w:val="Normale"/>
    <w:link w:val="IntestazioneCarattere"/>
    <w:uiPriority w:val="99"/>
    <w:rsid w:val="00AB2149"/>
    <w:pPr>
      <w:tabs>
        <w:tab w:val="center" w:pos="4819"/>
        <w:tab w:val="right" w:pos="9638"/>
      </w:tabs>
      <w:spacing w:after="0" w:line="240" w:lineRule="auto"/>
    </w:pPr>
    <w:rPr>
      <w:szCs w:val="20"/>
      <w:lang w:eastAsia="it-IT"/>
    </w:rPr>
  </w:style>
  <w:style w:type="character" w:customStyle="1" w:styleId="IntestazioneCarattere">
    <w:name w:val="Intestazione Carattere"/>
    <w:basedOn w:val="Carpredefinitoparagrafo"/>
    <w:link w:val="Intestazione"/>
    <w:uiPriority w:val="99"/>
    <w:rsid w:val="00AB2149"/>
    <w:rPr>
      <w:sz w:val="24"/>
      <w:szCs w:val="20"/>
    </w:rPr>
  </w:style>
  <w:style w:type="character" w:customStyle="1" w:styleId="Titolo1Carattere">
    <w:name w:val="Titolo 1 Carattere"/>
    <w:basedOn w:val="Carpredefinitoparagrafo"/>
    <w:link w:val="Titolo1"/>
    <w:uiPriority w:val="9"/>
    <w:rsid w:val="00B0728F"/>
    <w:rPr>
      <w:rFonts w:eastAsia="Times New Roman"/>
      <w:b/>
      <w:sz w:val="40"/>
      <w:szCs w:val="32"/>
      <w:lang w:eastAsia="en-US"/>
    </w:rPr>
  </w:style>
  <w:style w:type="character" w:customStyle="1" w:styleId="Titolo2Carattere">
    <w:name w:val="Titolo 2 Carattere"/>
    <w:basedOn w:val="Carpredefinitoparagrafo"/>
    <w:link w:val="Titolo2"/>
    <w:rsid w:val="00B0728F"/>
    <w:rPr>
      <w:rFonts w:ascii="Times New Roman" w:eastAsia="Times New Roman" w:hAnsi="Times New Roman"/>
      <w:b/>
      <w:sz w:val="28"/>
      <w:szCs w:val="26"/>
      <w:lang w:eastAsia="en-US"/>
    </w:rPr>
  </w:style>
  <w:style w:type="character" w:customStyle="1" w:styleId="Titolo3Carattere">
    <w:name w:val="Titolo 3 Carattere"/>
    <w:basedOn w:val="Carpredefinitoparagrafo"/>
    <w:link w:val="Titolo3"/>
    <w:rsid w:val="00B0728F"/>
    <w:rPr>
      <w:rFonts w:eastAsia="Times New Roman"/>
      <w:b/>
      <w:sz w:val="24"/>
      <w:szCs w:val="24"/>
      <w:lang w:eastAsia="en-US"/>
    </w:rPr>
  </w:style>
  <w:style w:type="character" w:customStyle="1" w:styleId="Titolo6Carattere">
    <w:name w:val="Titolo 6 Carattere"/>
    <w:basedOn w:val="Carpredefinitoparagrafo"/>
    <w:link w:val="Titolo6"/>
    <w:uiPriority w:val="9"/>
    <w:semiHidden/>
    <w:rsid w:val="00B0728F"/>
    <w:rPr>
      <w:rFonts w:ascii="Cambria" w:eastAsia="Times New Roman" w:hAnsi="Cambria"/>
      <w:color w:val="243F60"/>
      <w:sz w:val="24"/>
      <w:lang w:eastAsia="en-US"/>
    </w:rPr>
  </w:style>
  <w:style w:type="character" w:customStyle="1" w:styleId="Titolo7Carattere">
    <w:name w:val="Titolo 7 Carattere"/>
    <w:basedOn w:val="Carpredefinitoparagrafo"/>
    <w:link w:val="Titolo7"/>
    <w:uiPriority w:val="9"/>
    <w:semiHidden/>
    <w:rsid w:val="00B0728F"/>
    <w:rPr>
      <w:rFonts w:ascii="Cambria" w:eastAsia="Times New Roman" w:hAnsi="Cambria"/>
      <w:i/>
      <w:iCs/>
      <w:color w:val="243F60"/>
      <w:sz w:val="24"/>
      <w:lang w:eastAsia="en-US"/>
    </w:rPr>
  </w:style>
  <w:style w:type="character" w:customStyle="1" w:styleId="Titolo8Carattere">
    <w:name w:val="Titolo 8 Carattere"/>
    <w:basedOn w:val="Carpredefinitoparagrafo"/>
    <w:link w:val="Titolo8"/>
    <w:uiPriority w:val="9"/>
    <w:semiHidden/>
    <w:rsid w:val="00B0728F"/>
    <w:rPr>
      <w:rFonts w:ascii="Cambria" w:eastAsia="Times New Roman" w:hAnsi="Cambria"/>
      <w:color w:val="272727"/>
      <w:sz w:val="21"/>
      <w:szCs w:val="21"/>
      <w:lang w:eastAsia="en-US"/>
    </w:rPr>
  </w:style>
  <w:style w:type="character" w:customStyle="1" w:styleId="Titolo9Carattere">
    <w:name w:val="Titolo 9 Carattere"/>
    <w:basedOn w:val="Carpredefinitoparagrafo"/>
    <w:link w:val="Titolo9"/>
    <w:uiPriority w:val="9"/>
    <w:semiHidden/>
    <w:rsid w:val="00B0728F"/>
    <w:rPr>
      <w:rFonts w:ascii="Cambria" w:eastAsia="Times New Roman" w:hAnsi="Cambria"/>
      <w:i/>
      <w:iCs/>
      <w:color w:val="272727"/>
      <w:sz w:val="21"/>
      <w:szCs w:val="21"/>
      <w:lang w:eastAsia="en-US"/>
    </w:rPr>
  </w:style>
  <w:style w:type="paragraph" w:styleId="Puntoelenco">
    <w:name w:val="List Bullet"/>
    <w:basedOn w:val="Normale"/>
    <w:uiPriority w:val="99"/>
    <w:unhideWhenUsed/>
    <w:rsid w:val="00B0728F"/>
    <w:pPr>
      <w:numPr>
        <w:numId w:val="11"/>
      </w:numPr>
      <w:spacing w:after="80" w:line="259" w:lineRule="auto"/>
      <w:contextualSpacing/>
      <w:jc w:val="both"/>
    </w:pPr>
  </w:style>
  <w:style w:type="paragraph" w:styleId="Revisione">
    <w:name w:val="Revision"/>
    <w:hidden/>
    <w:uiPriority w:val="99"/>
    <w:semiHidden/>
    <w:rsid w:val="00AF0983"/>
    <w:rPr>
      <w:rFonts w:ascii="Times New Roman" w:hAnsi="Times New Roman"/>
      <w:sz w:val="24"/>
      <w:lang w:eastAsia="en-US"/>
    </w:rPr>
  </w:style>
  <w:style w:type="character" w:styleId="Rimandocommento">
    <w:name w:val="annotation reference"/>
    <w:basedOn w:val="Carpredefinitoparagrafo"/>
    <w:uiPriority w:val="99"/>
    <w:semiHidden/>
    <w:unhideWhenUsed/>
    <w:rsid w:val="006E4D00"/>
    <w:rPr>
      <w:sz w:val="16"/>
      <w:szCs w:val="16"/>
    </w:rPr>
  </w:style>
  <w:style w:type="paragraph" w:styleId="Testocommento">
    <w:name w:val="annotation text"/>
    <w:basedOn w:val="Normale"/>
    <w:link w:val="TestocommentoCarattere"/>
    <w:uiPriority w:val="99"/>
    <w:semiHidden/>
    <w:unhideWhenUsed/>
    <w:rsid w:val="006E4D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4D00"/>
    <w:rPr>
      <w:rFonts w:ascii="Times New Roman" w:hAnsi="Times New Roman"/>
      <w:sz w:val="20"/>
      <w:szCs w:val="20"/>
      <w:lang w:eastAsia="en-US"/>
    </w:rPr>
  </w:style>
  <w:style w:type="paragraph" w:styleId="Soggettocommento">
    <w:name w:val="annotation subject"/>
    <w:basedOn w:val="Testocommento"/>
    <w:next w:val="Testocommento"/>
    <w:link w:val="SoggettocommentoCarattere"/>
    <w:uiPriority w:val="99"/>
    <w:semiHidden/>
    <w:unhideWhenUsed/>
    <w:rsid w:val="006E4D00"/>
    <w:rPr>
      <w:b/>
      <w:bCs/>
    </w:rPr>
  </w:style>
  <w:style w:type="character" w:customStyle="1" w:styleId="SoggettocommentoCarattere">
    <w:name w:val="Soggetto commento Carattere"/>
    <w:basedOn w:val="TestocommentoCarattere"/>
    <w:link w:val="Soggettocommento"/>
    <w:uiPriority w:val="99"/>
    <w:semiHidden/>
    <w:rsid w:val="006E4D00"/>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153">
      <w:bodyDiv w:val="1"/>
      <w:marLeft w:val="0"/>
      <w:marRight w:val="0"/>
      <w:marTop w:val="0"/>
      <w:marBottom w:val="0"/>
      <w:divBdr>
        <w:top w:val="none" w:sz="0" w:space="0" w:color="auto"/>
        <w:left w:val="none" w:sz="0" w:space="0" w:color="auto"/>
        <w:bottom w:val="none" w:sz="0" w:space="0" w:color="auto"/>
        <w:right w:val="none" w:sz="0" w:space="0" w:color="auto"/>
      </w:divBdr>
    </w:div>
    <w:div w:id="57821967">
      <w:bodyDiv w:val="1"/>
      <w:marLeft w:val="0"/>
      <w:marRight w:val="0"/>
      <w:marTop w:val="0"/>
      <w:marBottom w:val="0"/>
      <w:divBdr>
        <w:top w:val="none" w:sz="0" w:space="0" w:color="auto"/>
        <w:left w:val="none" w:sz="0" w:space="0" w:color="auto"/>
        <w:bottom w:val="none" w:sz="0" w:space="0" w:color="auto"/>
        <w:right w:val="none" w:sz="0" w:space="0" w:color="auto"/>
      </w:divBdr>
    </w:div>
    <w:div w:id="65995878">
      <w:bodyDiv w:val="1"/>
      <w:marLeft w:val="0"/>
      <w:marRight w:val="0"/>
      <w:marTop w:val="0"/>
      <w:marBottom w:val="0"/>
      <w:divBdr>
        <w:top w:val="none" w:sz="0" w:space="0" w:color="auto"/>
        <w:left w:val="none" w:sz="0" w:space="0" w:color="auto"/>
        <w:bottom w:val="none" w:sz="0" w:space="0" w:color="auto"/>
        <w:right w:val="none" w:sz="0" w:space="0" w:color="auto"/>
      </w:divBdr>
    </w:div>
    <w:div w:id="75983728">
      <w:bodyDiv w:val="1"/>
      <w:marLeft w:val="0"/>
      <w:marRight w:val="0"/>
      <w:marTop w:val="0"/>
      <w:marBottom w:val="0"/>
      <w:divBdr>
        <w:top w:val="none" w:sz="0" w:space="0" w:color="auto"/>
        <w:left w:val="none" w:sz="0" w:space="0" w:color="auto"/>
        <w:bottom w:val="none" w:sz="0" w:space="0" w:color="auto"/>
        <w:right w:val="none" w:sz="0" w:space="0" w:color="auto"/>
      </w:divBdr>
    </w:div>
    <w:div w:id="75984419">
      <w:bodyDiv w:val="1"/>
      <w:marLeft w:val="0"/>
      <w:marRight w:val="0"/>
      <w:marTop w:val="0"/>
      <w:marBottom w:val="0"/>
      <w:divBdr>
        <w:top w:val="none" w:sz="0" w:space="0" w:color="auto"/>
        <w:left w:val="none" w:sz="0" w:space="0" w:color="auto"/>
        <w:bottom w:val="none" w:sz="0" w:space="0" w:color="auto"/>
        <w:right w:val="none" w:sz="0" w:space="0" w:color="auto"/>
      </w:divBdr>
    </w:div>
    <w:div w:id="132529178">
      <w:bodyDiv w:val="1"/>
      <w:marLeft w:val="0"/>
      <w:marRight w:val="0"/>
      <w:marTop w:val="0"/>
      <w:marBottom w:val="0"/>
      <w:divBdr>
        <w:top w:val="none" w:sz="0" w:space="0" w:color="auto"/>
        <w:left w:val="none" w:sz="0" w:space="0" w:color="auto"/>
        <w:bottom w:val="none" w:sz="0" w:space="0" w:color="auto"/>
        <w:right w:val="none" w:sz="0" w:space="0" w:color="auto"/>
      </w:divBdr>
    </w:div>
    <w:div w:id="149179963">
      <w:bodyDiv w:val="1"/>
      <w:marLeft w:val="0"/>
      <w:marRight w:val="0"/>
      <w:marTop w:val="0"/>
      <w:marBottom w:val="0"/>
      <w:divBdr>
        <w:top w:val="none" w:sz="0" w:space="0" w:color="auto"/>
        <w:left w:val="none" w:sz="0" w:space="0" w:color="auto"/>
        <w:bottom w:val="none" w:sz="0" w:space="0" w:color="auto"/>
        <w:right w:val="none" w:sz="0" w:space="0" w:color="auto"/>
      </w:divBdr>
    </w:div>
    <w:div w:id="239213137">
      <w:bodyDiv w:val="1"/>
      <w:marLeft w:val="0"/>
      <w:marRight w:val="0"/>
      <w:marTop w:val="0"/>
      <w:marBottom w:val="0"/>
      <w:divBdr>
        <w:top w:val="none" w:sz="0" w:space="0" w:color="auto"/>
        <w:left w:val="none" w:sz="0" w:space="0" w:color="auto"/>
        <w:bottom w:val="none" w:sz="0" w:space="0" w:color="auto"/>
        <w:right w:val="none" w:sz="0" w:space="0" w:color="auto"/>
      </w:divBdr>
    </w:div>
    <w:div w:id="369575920">
      <w:bodyDiv w:val="1"/>
      <w:marLeft w:val="0"/>
      <w:marRight w:val="0"/>
      <w:marTop w:val="0"/>
      <w:marBottom w:val="0"/>
      <w:divBdr>
        <w:top w:val="none" w:sz="0" w:space="0" w:color="auto"/>
        <w:left w:val="none" w:sz="0" w:space="0" w:color="auto"/>
        <w:bottom w:val="none" w:sz="0" w:space="0" w:color="auto"/>
        <w:right w:val="none" w:sz="0" w:space="0" w:color="auto"/>
      </w:divBdr>
    </w:div>
    <w:div w:id="456529485">
      <w:bodyDiv w:val="1"/>
      <w:marLeft w:val="0"/>
      <w:marRight w:val="0"/>
      <w:marTop w:val="0"/>
      <w:marBottom w:val="0"/>
      <w:divBdr>
        <w:top w:val="none" w:sz="0" w:space="0" w:color="auto"/>
        <w:left w:val="none" w:sz="0" w:space="0" w:color="auto"/>
        <w:bottom w:val="none" w:sz="0" w:space="0" w:color="auto"/>
        <w:right w:val="none" w:sz="0" w:space="0" w:color="auto"/>
      </w:divBdr>
    </w:div>
    <w:div w:id="629896013">
      <w:bodyDiv w:val="1"/>
      <w:marLeft w:val="0"/>
      <w:marRight w:val="0"/>
      <w:marTop w:val="0"/>
      <w:marBottom w:val="0"/>
      <w:divBdr>
        <w:top w:val="none" w:sz="0" w:space="0" w:color="auto"/>
        <w:left w:val="none" w:sz="0" w:space="0" w:color="auto"/>
        <w:bottom w:val="none" w:sz="0" w:space="0" w:color="auto"/>
        <w:right w:val="none" w:sz="0" w:space="0" w:color="auto"/>
      </w:divBdr>
    </w:div>
    <w:div w:id="737291296">
      <w:bodyDiv w:val="1"/>
      <w:marLeft w:val="0"/>
      <w:marRight w:val="0"/>
      <w:marTop w:val="0"/>
      <w:marBottom w:val="0"/>
      <w:divBdr>
        <w:top w:val="none" w:sz="0" w:space="0" w:color="auto"/>
        <w:left w:val="none" w:sz="0" w:space="0" w:color="auto"/>
        <w:bottom w:val="none" w:sz="0" w:space="0" w:color="auto"/>
        <w:right w:val="none" w:sz="0" w:space="0" w:color="auto"/>
      </w:divBdr>
    </w:div>
    <w:div w:id="816457908">
      <w:bodyDiv w:val="1"/>
      <w:marLeft w:val="0"/>
      <w:marRight w:val="0"/>
      <w:marTop w:val="0"/>
      <w:marBottom w:val="0"/>
      <w:divBdr>
        <w:top w:val="none" w:sz="0" w:space="0" w:color="auto"/>
        <w:left w:val="none" w:sz="0" w:space="0" w:color="auto"/>
        <w:bottom w:val="none" w:sz="0" w:space="0" w:color="auto"/>
        <w:right w:val="none" w:sz="0" w:space="0" w:color="auto"/>
      </w:divBdr>
    </w:div>
    <w:div w:id="833257417">
      <w:bodyDiv w:val="1"/>
      <w:marLeft w:val="0"/>
      <w:marRight w:val="0"/>
      <w:marTop w:val="0"/>
      <w:marBottom w:val="0"/>
      <w:divBdr>
        <w:top w:val="none" w:sz="0" w:space="0" w:color="auto"/>
        <w:left w:val="none" w:sz="0" w:space="0" w:color="auto"/>
        <w:bottom w:val="none" w:sz="0" w:space="0" w:color="auto"/>
        <w:right w:val="none" w:sz="0" w:space="0" w:color="auto"/>
      </w:divBdr>
    </w:div>
    <w:div w:id="885527792">
      <w:bodyDiv w:val="1"/>
      <w:marLeft w:val="0"/>
      <w:marRight w:val="0"/>
      <w:marTop w:val="0"/>
      <w:marBottom w:val="0"/>
      <w:divBdr>
        <w:top w:val="none" w:sz="0" w:space="0" w:color="auto"/>
        <w:left w:val="none" w:sz="0" w:space="0" w:color="auto"/>
        <w:bottom w:val="none" w:sz="0" w:space="0" w:color="auto"/>
        <w:right w:val="none" w:sz="0" w:space="0" w:color="auto"/>
      </w:divBdr>
    </w:div>
    <w:div w:id="887688285">
      <w:bodyDiv w:val="1"/>
      <w:marLeft w:val="0"/>
      <w:marRight w:val="0"/>
      <w:marTop w:val="0"/>
      <w:marBottom w:val="0"/>
      <w:divBdr>
        <w:top w:val="none" w:sz="0" w:space="0" w:color="auto"/>
        <w:left w:val="none" w:sz="0" w:space="0" w:color="auto"/>
        <w:bottom w:val="none" w:sz="0" w:space="0" w:color="auto"/>
        <w:right w:val="none" w:sz="0" w:space="0" w:color="auto"/>
      </w:divBdr>
    </w:div>
    <w:div w:id="924798797">
      <w:marLeft w:val="0"/>
      <w:marRight w:val="0"/>
      <w:marTop w:val="0"/>
      <w:marBottom w:val="0"/>
      <w:divBdr>
        <w:top w:val="none" w:sz="0" w:space="0" w:color="auto"/>
        <w:left w:val="none" w:sz="0" w:space="0" w:color="auto"/>
        <w:bottom w:val="none" w:sz="0" w:space="0" w:color="auto"/>
        <w:right w:val="none" w:sz="0" w:space="0" w:color="auto"/>
      </w:divBdr>
    </w:div>
    <w:div w:id="924798798">
      <w:marLeft w:val="0"/>
      <w:marRight w:val="0"/>
      <w:marTop w:val="0"/>
      <w:marBottom w:val="0"/>
      <w:divBdr>
        <w:top w:val="none" w:sz="0" w:space="0" w:color="auto"/>
        <w:left w:val="none" w:sz="0" w:space="0" w:color="auto"/>
        <w:bottom w:val="none" w:sz="0" w:space="0" w:color="auto"/>
        <w:right w:val="none" w:sz="0" w:space="0" w:color="auto"/>
      </w:divBdr>
    </w:div>
    <w:div w:id="924798799">
      <w:marLeft w:val="0"/>
      <w:marRight w:val="0"/>
      <w:marTop w:val="0"/>
      <w:marBottom w:val="0"/>
      <w:divBdr>
        <w:top w:val="none" w:sz="0" w:space="0" w:color="auto"/>
        <w:left w:val="none" w:sz="0" w:space="0" w:color="auto"/>
        <w:bottom w:val="none" w:sz="0" w:space="0" w:color="auto"/>
        <w:right w:val="none" w:sz="0" w:space="0" w:color="auto"/>
      </w:divBdr>
    </w:div>
    <w:div w:id="924798800">
      <w:marLeft w:val="0"/>
      <w:marRight w:val="0"/>
      <w:marTop w:val="0"/>
      <w:marBottom w:val="0"/>
      <w:divBdr>
        <w:top w:val="none" w:sz="0" w:space="0" w:color="auto"/>
        <w:left w:val="none" w:sz="0" w:space="0" w:color="auto"/>
        <w:bottom w:val="none" w:sz="0" w:space="0" w:color="auto"/>
        <w:right w:val="none" w:sz="0" w:space="0" w:color="auto"/>
      </w:divBdr>
    </w:div>
    <w:div w:id="924798801">
      <w:marLeft w:val="0"/>
      <w:marRight w:val="0"/>
      <w:marTop w:val="0"/>
      <w:marBottom w:val="0"/>
      <w:divBdr>
        <w:top w:val="none" w:sz="0" w:space="0" w:color="auto"/>
        <w:left w:val="none" w:sz="0" w:space="0" w:color="auto"/>
        <w:bottom w:val="none" w:sz="0" w:space="0" w:color="auto"/>
        <w:right w:val="none" w:sz="0" w:space="0" w:color="auto"/>
      </w:divBdr>
    </w:div>
    <w:div w:id="924798802">
      <w:marLeft w:val="0"/>
      <w:marRight w:val="0"/>
      <w:marTop w:val="0"/>
      <w:marBottom w:val="0"/>
      <w:divBdr>
        <w:top w:val="none" w:sz="0" w:space="0" w:color="auto"/>
        <w:left w:val="none" w:sz="0" w:space="0" w:color="auto"/>
        <w:bottom w:val="none" w:sz="0" w:space="0" w:color="auto"/>
        <w:right w:val="none" w:sz="0" w:space="0" w:color="auto"/>
      </w:divBdr>
    </w:div>
    <w:div w:id="924798803">
      <w:marLeft w:val="0"/>
      <w:marRight w:val="0"/>
      <w:marTop w:val="0"/>
      <w:marBottom w:val="0"/>
      <w:divBdr>
        <w:top w:val="none" w:sz="0" w:space="0" w:color="auto"/>
        <w:left w:val="none" w:sz="0" w:space="0" w:color="auto"/>
        <w:bottom w:val="none" w:sz="0" w:space="0" w:color="auto"/>
        <w:right w:val="none" w:sz="0" w:space="0" w:color="auto"/>
      </w:divBdr>
    </w:div>
    <w:div w:id="924798804">
      <w:marLeft w:val="0"/>
      <w:marRight w:val="0"/>
      <w:marTop w:val="0"/>
      <w:marBottom w:val="0"/>
      <w:divBdr>
        <w:top w:val="none" w:sz="0" w:space="0" w:color="auto"/>
        <w:left w:val="none" w:sz="0" w:space="0" w:color="auto"/>
        <w:bottom w:val="none" w:sz="0" w:space="0" w:color="auto"/>
        <w:right w:val="none" w:sz="0" w:space="0" w:color="auto"/>
      </w:divBdr>
    </w:div>
    <w:div w:id="924798805">
      <w:marLeft w:val="0"/>
      <w:marRight w:val="0"/>
      <w:marTop w:val="0"/>
      <w:marBottom w:val="0"/>
      <w:divBdr>
        <w:top w:val="none" w:sz="0" w:space="0" w:color="auto"/>
        <w:left w:val="none" w:sz="0" w:space="0" w:color="auto"/>
        <w:bottom w:val="none" w:sz="0" w:space="0" w:color="auto"/>
        <w:right w:val="none" w:sz="0" w:space="0" w:color="auto"/>
      </w:divBdr>
    </w:div>
    <w:div w:id="924798806">
      <w:marLeft w:val="0"/>
      <w:marRight w:val="0"/>
      <w:marTop w:val="0"/>
      <w:marBottom w:val="0"/>
      <w:divBdr>
        <w:top w:val="none" w:sz="0" w:space="0" w:color="auto"/>
        <w:left w:val="none" w:sz="0" w:space="0" w:color="auto"/>
        <w:bottom w:val="none" w:sz="0" w:space="0" w:color="auto"/>
        <w:right w:val="none" w:sz="0" w:space="0" w:color="auto"/>
      </w:divBdr>
    </w:div>
    <w:div w:id="924798807">
      <w:marLeft w:val="0"/>
      <w:marRight w:val="0"/>
      <w:marTop w:val="0"/>
      <w:marBottom w:val="0"/>
      <w:divBdr>
        <w:top w:val="none" w:sz="0" w:space="0" w:color="auto"/>
        <w:left w:val="none" w:sz="0" w:space="0" w:color="auto"/>
        <w:bottom w:val="none" w:sz="0" w:space="0" w:color="auto"/>
        <w:right w:val="none" w:sz="0" w:space="0" w:color="auto"/>
      </w:divBdr>
    </w:div>
    <w:div w:id="924798808">
      <w:marLeft w:val="0"/>
      <w:marRight w:val="0"/>
      <w:marTop w:val="0"/>
      <w:marBottom w:val="0"/>
      <w:divBdr>
        <w:top w:val="none" w:sz="0" w:space="0" w:color="auto"/>
        <w:left w:val="none" w:sz="0" w:space="0" w:color="auto"/>
        <w:bottom w:val="none" w:sz="0" w:space="0" w:color="auto"/>
        <w:right w:val="none" w:sz="0" w:space="0" w:color="auto"/>
      </w:divBdr>
    </w:div>
    <w:div w:id="924798809">
      <w:marLeft w:val="0"/>
      <w:marRight w:val="0"/>
      <w:marTop w:val="0"/>
      <w:marBottom w:val="0"/>
      <w:divBdr>
        <w:top w:val="none" w:sz="0" w:space="0" w:color="auto"/>
        <w:left w:val="none" w:sz="0" w:space="0" w:color="auto"/>
        <w:bottom w:val="none" w:sz="0" w:space="0" w:color="auto"/>
        <w:right w:val="none" w:sz="0" w:space="0" w:color="auto"/>
      </w:divBdr>
    </w:div>
    <w:div w:id="924798810">
      <w:marLeft w:val="0"/>
      <w:marRight w:val="0"/>
      <w:marTop w:val="0"/>
      <w:marBottom w:val="0"/>
      <w:divBdr>
        <w:top w:val="none" w:sz="0" w:space="0" w:color="auto"/>
        <w:left w:val="none" w:sz="0" w:space="0" w:color="auto"/>
        <w:bottom w:val="none" w:sz="0" w:space="0" w:color="auto"/>
        <w:right w:val="none" w:sz="0" w:space="0" w:color="auto"/>
      </w:divBdr>
    </w:div>
    <w:div w:id="924798811">
      <w:marLeft w:val="0"/>
      <w:marRight w:val="0"/>
      <w:marTop w:val="0"/>
      <w:marBottom w:val="0"/>
      <w:divBdr>
        <w:top w:val="none" w:sz="0" w:space="0" w:color="auto"/>
        <w:left w:val="none" w:sz="0" w:space="0" w:color="auto"/>
        <w:bottom w:val="none" w:sz="0" w:space="0" w:color="auto"/>
        <w:right w:val="none" w:sz="0" w:space="0" w:color="auto"/>
      </w:divBdr>
    </w:div>
    <w:div w:id="924798812">
      <w:marLeft w:val="0"/>
      <w:marRight w:val="0"/>
      <w:marTop w:val="0"/>
      <w:marBottom w:val="0"/>
      <w:divBdr>
        <w:top w:val="none" w:sz="0" w:space="0" w:color="auto"/>
        <w:left w:val="none" w:sz="0" w:space="0" w:color="auto"/>
        <w:bottom w:val="none" w:sz="0" w:space="0" w:color="auto"/>
        <w:right w:val="none" w:sz="0" w:space="0" w:color="auto"/>
      </w:divBdr>
    </w:div>
    <w:div w:id="924798813">
      <w:marLeft w:val="0"/>
      <w:marRight w:val="0"/>
      <w:marTop w:val="0"/>
      <w:marBottom w:val="0"/>
      <w:divBdr>
        <w:top w:val="none" w:sz="0" w:space="0" w:color="auto"/>
        <w:left w:val="none" w:sz="0" w:space="0" w:color="auto"/>
        <w:bottom w:val="none" w:sz="0" w:space="0" w:color="auto"/>
        <w:right w:val="none" w:sz="0" w:space="0" w:color="auto"/>
      </w:divBdr>
    </w:div>
    <w:div w:id="924798814">
      <w:marLeft w:val="0"/>
      <w:marRight w:val="0"/>
      <w:marTop w:val="0"/>
      <w:marBottom w:val="0"/>
      <w:divBdr>
        <w:top w:val="none" w:sz="0" w:space="0" w:color="auto"/>
        <w:left w:val="none" w:sz="0" w:space="0" w:color="auto"/>
        <w:bottom w:val="none" w:sz="0" w:space="0" w:color="auto"/>
        <w:right w:val="none" w:sz="0" w:space="0" w:color="auto"/>
      </w:divBdr>
    </w:div>
    <w:div w:id="924798815">
      <w:marLeft w:val="0"/>
      <w:marRight w:val="0"/>
      <w:marTop w:val="0"/>
      <w:marBottom w:val="0"/>
      <w:divBdr>
        <w:top w:val="none" w:sz="0" w:space="0" w:color="auto"/>
        <w:left w:val="none" w:sz="0" w:space="0" w:color="auto"/>
        <w:bottom w:val="none" w:sz="0" w:space="0" w:color="auto"/>
        <w:right w:val="none" w:sz="0" w:space="0" w:color="auto"/>
      </w:divBdr>
    </w:div>
    <w:div w:id="924798816">
      <w:marLeft w:val="0"/>
      <w:marRight w:val="0"/>
      <w:marTop w:val="0"/>
      <w:marBottom w:val="0"/>
      <w:divBdr>
        <w:top w:val="none" w:sz="0" w:space="0" w:color="auto"/>
        <w:left w:val="none" w:sz="0" w:space="0" w:color="auto"/>
        <w:bottom w:val="none" w:sz="0" w:space="0" w:color="auto"/>
        <w:right w:val="none" w:sz="0" w:space="0" w:color="auto"/>
      </w:divBdr>
    </w:div>
    <w:div w:id="924798817">
      <w:marLeft w:val="0"/>
      <w:marRight w:val="0"/>
      <w:marTop w:val="0"/>
      <w:marBottom w:val="0"/>
      <w:divBdr>
        <w:top w:val="none" w:sz="0" w:space="0" w:color="auto"/>
        <w:left w:val="none" w:sz="0" w:space="0" w:color="auto"/>
        <w:bottom w:val="none" w:sz="0" w:space="0" w:color="auto"/>
        <w:right w:val="none" w:sz="0" w:space="0" w:color="auto"/>
      </w:divBdr>
    </w:div>
    <w:div w:id="924798818">
      <w:marLeft w:val="0"/>
      <w:marRight w:val="0"/>
      <w:marTop w:val="0"/>
      <w:marBottom w:val="0"/>
      <w:divBdr>
        <w:top w:val="none" w:sz="0" w:space="0" w:color="auto"/>
        <w:left w:val="none" w:sz="0" w:space="0" w:color="auto"/>
        <w:bottom w:val="none" w:sz="0" w:space="0" w:color="auto"/>
        <w:right w:val="none" w:sz="0" w:space="0" w:color="auto"/>
      </w:divBdr>
    </w:div>
    <w:div w:id="924798819">
      <w:marLeft w:val="0"/>
      <w:marRight w:val="0"/>
      <w:marTop w:val="0"/>
      <w:marBottom w:val="0"/>
      <w:divBdr>
        <w:top w:val="none" w:sz="0" w:space="0" w:color="auto"/>
        <w:left w:val="none" w:sz="0" w:space="0" w:color="auto"/>
        <w:bottom w:val="none" w:sz="0" w:space="0" w:color="auto"/>
        <w:right w:val="none" w:sz="0" w:space="0" w:color="auto"/>
      </w:divBdr>
    </w:div>
    <w:div w:id="924798820">
      <w:marLeft w:val="0"/>
      <w:marRight w:val="0"/>
      <w:marTop w:val="0"/>
      <w:marBottom w:val="0"/>
      <w:divBdr>
        <w:top w:val="none" w:sz="0" w:space="0" w:color="auto"/>
        <w:left w:val="none" w:sz="0" w:space="0" w:color="auto"/>
        <w:bottom w:val="none" w:sz="0" w:space="0" w:color="auto"/>
        <w:right w:val="none" w:sz="0" w:space="0" w:color="auto"/>
      </w:divBdr>
    </w:div>
    <w:div w:id="924798821">
      <w:marLeft w:val="0"/>
      <w:marRight w:val="0"/>
      <w:marTop w:val="0"/>
      <w:marBottom w:val="0"/>
      <w:divBdr>
        <w:top w:val="none" w:sz="0" w:space="0" w:color="auto"/>
        <w:left w:val="none" w:sz="0" w:space="0" w:color="auto"/>
        <w:bottom w:val="none" w:sz="0" w:space="0" w:color="auto"/>
        <w:right w:val="none" w:sz="0" w:space="0" w:color="auto"/>
      </w:divBdr>
    </w:div>
    <w:div w:id="924798822">
      <w:marLeft w:val="0"/>
      <w:marRight w:val="0"/>
      <w:marTop w:val="0"/>
      <w:marBottom w:val="0"/>
      <w:divBdr>
        <w:top w:val="none" w:sz="0" w:space="0" w:color="auto"/>
        <w:left w:val="none" w:sz="0" w:space="0" w:color="auto"/>
        <w:bottom w:val="none" w:sz="0" w:space="0" w:color="auto"/>
        <w:right w:val="none" w:sz="0" w:space="0" w:color="auto"/>
      </w:divBdr>
    </w:div>
    <w:div w:id="945116104">
      <w:bodyDiv w:val="1"/>
      <w:marLeft w:val="0"/>
      <w:marRight w:val="0"/>
      <w:marTop w:val="0"/>
      <w:marBottom w:val="0"/>
      <w:divBdr>
        <w:top w:val="none" w:sz="0" w:space="0" w:color="auto"/>
        <w:left w:val="none" w:sz="0" w:space="0" w:color="auto"/>
        <w:bottom w:val="none" w:sz="0" w:space="0" w:color="auto"/>
        <w:right w:val="none" w:sz="0" w:space="0" w:color="auto"/>
      </w:divBdr>
    </w:div>
    <w:div w:id="1025331418">
      <w:bodyDiv w:val="1"/>
      <w:marLeft w:val="0"/>
      <w:marRight w:val="0"/>
      <w:marTop w:val="0"/>
      <w:marBottom w:val="0"/>
      <w:divBdr>
        <w:top w:val="none" w:sz="0" w:space="0" w:color="auto"/>
        <w:left w:val="none" w:sz="0" w:space="0" w:color="auto"/>
        <w:bottom w:val="none" w:sz="0" w:space="0" w:color="auto"/>
        <w:right w:val="none" w:sz="0" w:space="0" w:color="auto"/>
      </w:divBdr>
    </w:div>
    <w:div w:id="1144661778">
      <w:bodyDiv w:val="1"/>
      <w:marLeft w:val="0"/>
      <w:marRight w:val="0"/>
      <w:marTop w:val="0"/>
      <w:marBottom w:val="0"/>
      <w:divBdr>
        <w:top w:val="none" w:sz="0" w:space="0" w:color="auto"/>
        <w:left w:val="none" w:sz="0" w:space="0" w:color="auto"/>
        <w:bottom w:val="none" w:sz="0" w:space="0" w:color="auto"/>
        <w:right w:val="none" w:sz="0" w:space="0" w:color="auto"/>
      </w:divBdr>
    </w:div>
    <w:div w:id="1171874563">
      <w:bodyDiv w:val="1"/>
      <w:marLeft w:val="0"/>
      <w:marRight w:val="0"/>
      <w:marTop w:val="0"/>
      <w:marBottom w:val="0"/>
      <w:divBdr>
        <w:top w:val="none" w:sz="0" w:space="0" w:color="auto"/>
        <w:left w:val="none" w:sz="0" w:space="0" w:color="auto"/>
        <w:bottom w:val="none" w:sz="0" w:space="0" w:color="auto"/>
        <w:right w:val="none" w:sz="0" w:space="0" w:color="auto"/>
      </w:divBdr>
    </w:div>
    <w:div w:id="1209143549">
      <w:bodyDiv w:val="1"/>
      <w:marLeft w:val="0"/>
      <w:marRight w:val="0"/>
      <w:marTop w:val="0"/>
      <w:marBottom w:val="0"/>
      <w:divBdr>
        <w:top w:val="none" w:sz="0" w:space="0" w:color="auto"/>
        <w:left w:val="none" w:sz="0" w:space="0" w:color="auto"/>
        <w:bottom w:val="none" w:sz="0" w:space="0" w:color="auto"/>
        <w:right w:val="none" w:sz="0" w:space="0" w:color="auto"/>
      </w:divBdr>
    </w:div>
    <w:div w:id="1230194489">
      <w:bodyDiv w:val="1"/>
      <w:marLeft w:val="0"/>
      <w:marRight w:val="0"/>
      <w:marTop w:val="0"/>
      <w:marBottom w:val="0"/>
      <w:divBdr>
        <w:top w:val="none" w:sz="0" w:space="0" w:color="auto"/>
        <w:left w:val="none" w:sz="0" w:space="0" w:color="auto"/>
        <w:bottom w:val="none" w:sz="0" w:space="0" w:color="auto"/>
        <w:right w:val="none" w:sz="0" w:space="0" w:color="auto"/>
      </w:divBdr>
    </w:div>
    <w:div w:id="1318530274">
      <w:bodyDiv w:val="1"/>
      <w:marLeft w:val="0"/>
      <w:marRight w:val="0"/>
      <w:marTop w:val="0"/>
      <w:marBottom w:val="0"/>
      <w:divBdr>
        <w:top w:val="none" w:sz="0" w:space="0" w:color="auto"/>
        <w:left w:val="none" w:sz="0" w:space="0" w:color="auto"/>
        <w:bottom w:val="none" w:sz="0" w:space="0" w:color="auto"/>
        <w:right w:val="none" w:sz="0" w:space="0" w:color="auto"/>
      </w:divBdr>
    </w:div>
    <w:div w:id="1342901099">
      <w:bodyDiv w:val="1"/>
      <w:marLeft w:val="0"/>
      <w:marRight w:val="0"/>
      <w:marTop w:val="0"/>
      <w:marBottom w:val="0"/>
      <w:divBdr>
        <w:top w:val="none" w:sz="0" w:space="0" w:color="auto"/>
        <w:left w:val="none" w:sz="0" w:space="0" w:color="auto"/>
        <w:bottom w:val="none" w:sz="0" w:space="0" w:color="auto"/>
        <w:right w:val="none" w:sz="0" w:space="0" w:color="auto"/>
      </w:divBdr>
    </w:div>
    <w:div w:id="1374381620">
      <w:bodyDiv w:val="1"/>
      <w:marLeft w:val="0"/>
      <w:marRight w:val="0"/>
      <w:marTop w:val="0"/>
      <w:marBottom w:val="0"/>
      <w:divBdr>
        <w:top w:val="none" w:sz="0" w:space="0" w:color="auto"/>
        <w:left w:val="none" w:sz="0" w:space="0" w:color="auto"/>
        <w:bottom w:val="none" w:sz="0" w:space="0" w:color="auto"/>
        <w:right w:val="none" w:sz="0" w:space="0" w:color="auto"/>
      </w:divBdr>
    </w:div>
    <w:div w:id="1376198000">
      <w:bodyDiv w:val="1"/>
      <w:marLeft w:val="0"/>
      <w:marRight w:val="0"/>
      <w:marTop w:val="0"/>
      <w:marBottom w:val="0"/>
      <w:divBdr>
        <w:top w:val="none" w:sz="0" w:space="0" w:color="auto"/>
        <w:left w:val="none" w:sz="0" w:space="0" w:color="auto"/>
        <w:bottom w:val="none" w:sz="0" w:space="0" w:color="auto"/>
        <w:right w:val="none" w:sz="0" w:space="0" w:color="auto"/>
      </w:divBdr>
    </w:div>
    <w:div w:id="1529636309">
      <w:bodyDiv w:val="1"/>
      <w:marLeft w:val="0"/>
      <w:marRight w:val="0"/>
      <w:marTop w:val="0"/>
      <w:marBottom w:val="0"/>
      <w:divBdr>
        <w:top w:val="none" w:sz="0" w:space="0" w:color="auto"/>
        <w:left w:val="none" w:sz="0" w:space="0" w:color="auto"/>
        <w:bottom w:val="none" w:sz="0" w:space="0" w:color="auto"/>
        <w:right w:val="none" w:sz="0" w:space="0" w:color="auto"/>
      </w:divBdr>
    </w:div>
    <w:div w:id="1530608381">
      <w:bodyDiv w:val="1"/>
      <w:marLeft w:val="0"/>
      <w:marRight w:val="0"/>
      <w:marTop w:val="0"/>
      <w:marBottom w:val="0"/>
      <w:divBdr>
        <w:top w:val="none" w:sz="0" w:space="0" w:color="auto"/>
        <w:left w:val="none" w:sz="0" w:space="0" w:color="auto"/>
        <w:bottom w:val="none" w:sz="0" w:space="0" w:color="auto"/>
        <w:right w:val="none" w:sz="0" w:space="0" w:color="auto"/>
      </w:divBdr>
    </w:div>
    <w:div w:id="1533300485">
      <w:bodyDiv w:val="1"/>
      <w:marLeft w:val="0"/>
      <w:marRight w:val="0"/>
      <w:marTop w:val="0"/>
      <w:marBottom w:val="0"/>
      <w:divBdr>
        <w:top w:val="none" w:sz="0" w:space="0" w:color="auto"/>
        <w:left w:val="none" w:sz="0" w:space="0" w:color="auto"/>
        <w:bottom w:val="none" w:sz="0" w:space="0" w:color="auto"/>
        <w:right w:val="none" w:sz="0" w:space="0" w:color="auto"/>
      </w:divBdr>
    </w:div>
    <w:div w:id="1593200211">
      <w:bodyDiv w:val="1"/>
      <w:marLeft w:val="0"/>
      <w:marRight w:val="0"/>
      <w:marTop w:val="0"/>
      <w:marBottom w:val="0"/>
      <w:divBdr>
        <w:top w:val="none" w:sz="0" w:space="0" w:color="auto"/>
        <w:left w:val="none" w:sz="0" w:space="0" w:color="auto"/>
        <w:bottom w:val="none" w:sz="0" w:space="0" w:color="auto"/>
        <w:right w:val="none" w:sz="0" w:space="0" w:color="auto"/>
      </w:divBdr>
    </w:div>
    <w:div w:id="1622804202">
      <w:bodyDiv w:val="1"/>
      <w:marLeft w:val="0"/>
      <w:marRight w:val="0"/>
      <w:marTop w:val="0"/>
      <w:marBottom w:val="0"/>
      <w:divBdr>
        <w:top w:val="none" w:sz="0" w:space="0" w:color="auto"/>
        <w:left w:val="none" w:sz="0" w:space="0" w:color="auto"/>
        <w:bottom w:val="none" w:sz="0" w:space="0" w:color="auto"/>
        <w:right w:val="none" w:sz="0" w:space="0" w:color="auto"/>
      </w:divBdr>
    </w:div>
    <w:div w:id="1869446721">
      <w:bodyDiv w:val="1"/>
      <w:marLeft w:val="0"/>
      <w:marRight w:val="0"/>
      <w:marTop w:val="0"/>
      <w:marBottom w:val="0"/>
      <w:divBdr>
        <w:top w:val="none" w:sz="0" w:space="0" w:color="auto"/>
        <w:left w:val="none" w:sz="0" w:space="0" w:color="auto"/>
        <w:bottom w:val="none" w:sz="0" w:space="0" w:color="auto"/>
        <w:right w:val="none" w:sz="0" w:space="0" w:color="auto"/>
      </w:divBdr>
    </w:div>
    <w:div w:id="1907302810">
      <w:bodyDiv w:val="1"/>
      <w:marLeft w:val="0"/>
      <w:marRight w:val="0"/>
      <w:marTop w:val="0"/>
      <w:marBottom w:val="0"/>
      <w:divBdr>
        <w:top w:val="none" w:sz="0" w:space="0" w:color="auto"/>
        <w:left w:val="none" w:sz="0" w:space="0" w:color="auto"/>
        <w:bottom w:val="none" w:sz="0" w:space="0" w:color="auto"/>
        <w:right w:val="none" w:sz="0" w:space="0" w:color="auto"/>
      </w:divBdr>
    </w:div>
    <w:div w:id="1926380038">
      <w:bodyDiv w:val="1"/>
      <w:marLeft w:val="0"/>
      <w:marRight w:val="0"/>
      <w:marTop w:val="0"/>
      <w:marBottom w:val="0"/>
      <w:divBdr>
        <w:top w:val="none" w:sz="0" w:space="0" w:color="auto"/>
        <w:left w:val="none" w:sz="0" w:space="0" w:color="auto"/>
        <w:bottom w:val="none" w:sz="0" w:space="0" w:color="auto"/>
        <w:right w:val="none" w:sz="0" w:space="0" w:color="auto"/>
      </w:divBdr>
    </w:div>
    <w:div w:id="2095853516">
      <w:bodyDiv w:val="1"/>
      <w:marLeft w:val="0"/>
      <w:marRight w:val="0"/>
      <w:marTop w:val="0"/>
      <w:marBottom w:val="0"/>
      <w:divBdr>
        <w:top w:val="none" w:sz="0" w:space="0" w:color="auto"/>
        <w:left w:val="none" w:sz="0" w:space="0" w:color="auto"/>
        <w:bottom w:val="none" w:sz="0" w:space="0" w:color="auto"/>
        <w:right w:val="none" w:sz="0" w:space="0" w:color="auto"/>
      </w:divBdr>
    </w:div>
    <w:div w:id="21389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4BABB-C3D4-4BE1-B018-41CB9634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3101</Words>
  <Characters>17682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Ministero Economia e Finanze</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Consip SpA</dc:creator>
  <cp:lastModifiedBy>Varone Francesco</cp:lastModifiedBy>
  <cp:revision>12</cp:revision>
  <cp:lastPrinted>2022-12-07T11:31:00Z</cp:lastPrinted>
  <dcterms:created xsi:type="dcterms:W3CDTF">2022-12-07T15:01:00Z</dcterms:created>
  <dcterms:modified xsi:type="dcterms:W3CDTF">2022-12-07T16:53:00Z</dcterms:modified>
</cp:coreProperties>
</file>